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kissan-ki-pehchan"/>
    <w:p>
      <w:pPr>
        <w:pStyle w:val="Heading1"/>
      </w:pPr>
      <w:r>
        <w:t xml:space="preserve">Kissan Ki Pehchan</w:t>
      </w:r>
    </w:p>
    <w:bookmarkStart w:id="21" w:name="X7169dedbc400fed51b6fdb45d414ef6980b71ff"/>
    <w:p>
      <w:pPr>
        <w:pStyle w:val="Heading2"/>
      </w:pPr>
      <w:r>
        <w:t xml:space="preserve">Urdu Voice, Vision and Agricultural Decision-Support Platform</w:t>
      </w:r>
    </w:p>
    <w:bookmarkStart w:id="20" w:name="X86a4177764f82b1fca8a56e8aa5ffe4108235ac"/>
    <w:p>
      <w:pPr>
        <w:pStyle w:val="Heading3"/>
      </w:pPr>
      <w:r>
        <w:t xml:space="preserve">Complete Technical Architecture and Implementation Plan</w:t>
      </w:r>
    </w:p>
    <w:p>
      <w:pPr>
        <w:pStyle w:val="FirstParagraph"/>
      </w:pPr>
      <w:r>
        <w:rPr>
          <w:b/>
          <w:bCs/>
        </w:rPr>
        <w:t xml:space="preserve">Document status:</w:t>
      </w:r>
      <w:r>
        <w:t xml:space="preserve"> </w:t>
      </w:r>
      <w:r>
        <w:t xml:space="preserve">Proposed production architecture</w:t>
      </w:r>
      <w:r>
        <w:br/>
      </w:r>
      <w:r>
        <w:rPr>
          <w:b/>
          <w:bCs/>
        </w:rPr>
        <w:t xml:space="preserve">Planning horizon:</w:t>
      </w:r>
      <w:r>
        <w:t xml:space="preserve"> </w:t>
      </w:r>
      <w:r>
        <w:t xml:space="preserve">16-week controlled pilot, followed by production hardening</w:t>
      </w:r>
      <w:r>
        <w:br/>
      </w:r>
      <w:r>
        <w:rPr>
          <w:b/>
          <w:bCs/>
        </w:rPr>
        <w:t xml:space="preserve">Primary users:</w:t>
      </w:r>
      <w:r>
        <w:t xml:space="preserve"> </w:t>
      </w:r>
      <w:r>
        <w:t xml:space="preserve">Farmers, agricultural field officers, agronomists and departmental administrators</w:t>
      </w:r>
      <w:r>
        <w:br/>
      </w:r>
      <w:r>
        <w:rPr>
          <w:b/>
          <w:bCs/>
        </w:rPr>
        <w:t xml:space="preserve">Primary language:</w:t>
      </w:r>
      <w:r>
        <w:t xml:space="preserve"> </w:t>
      </w:r>
      <w:r>
        <w:t xml:space="preserve">Pakistani Urdu, with support for Urdu-English code-switching and regional vocabulary</w:t>
      </w:r>
      <w:r>
        <w:br/>
      </w:r>
      <w:r>
        <w:rPr>
          <w:b/>
          <w:bCs/>
        </w:rPr>
        <w:t xml:space="preserve">Deployment model:</w:t>
      </w:r>
      <w:r>
        <w:t xml:space="preserve"> </w:t>
      </w:r>
      <w:r>
        <w:t xml:space="preserve">Government-controlled hybrid architecture, with a defined path to fully sovereign deployment</w:t>
      </w:r>
    </w:p>
    <w:p>
      <w:r>
        <w:pict>
          <v:rect style="width:0;height:1.5pt" o:hralign="center" o:hrstd="t" o:hr="t"/>
        </w:pict>
      </w:r>
    </w:p>
    <w:bookmarkEnd w:id="20"/>
    <w:bookmarkEnd w:id="21"/>
    <w:bookmarkEnd w:id="22"/>
    <w:bookmarkStart w:id="24" w:name="executive-decision"/>
    <w:p>
      <w:pPr>
        <w:pStyle w:val="Heading1"/>
      </w:pPr>
      <w:r>
        <w:t xml:space="preserve">1. Executive decision</w:t>
      </w:r>
    </w:p>
    <w:p>
      <w:pPr>
        <w:pStyle w:val="FirstParagraph"/>
      </w:pPr>
      <w:r>
        <w:t xml:space="preserve">Kissan Ki Pehchan should use a</w:t>
      </w:r>
      <w:r>
        <w:t xml:space="preserve"> </w:t>
      </w:r>
      <w:r>
        <w:rPr>
          <w:b/>
          <w:bCs/>
        </w:rPr>
        <w:t xml:space="preserve">cascaded voice architecture</w:t>
      </w:r>
      <w:r>
        <w:t xml:space="preserve">:</w:t>
      </w:r>
    </w:p>
    <w:p>
      <w:pPr>
        <w:pStyle w:val="SourceCode"/>
      </w:pPr>
      <w:r>
        <w:rPr>
          <w:rStyle w:val="VerbatimChar"/>
        </w:rPr>
        <w:t xml:space="preserve">Streaming Urdu STT</w:t>
      </w:r>
      <w:r>
        <w:br/>
      </w:r>
      <w:r>
        <w:rPr>
          <w:rStyle w:val="VerbatimChar"/>
        </w:rPr>
        <w:t xml:space="preserve">        ↓</w:t>
      </w:r>
      <w:r>
        <w:br/>
      </w:r>
      <w:r>
        <w:rPr>
          <w:rStyle w:val="VerbatimChar"/>
        </w:rPr>
        <w:t xml:space="preserve">Transcript validation and normalization</w:t>
      </w:r>
      <w:r>
        <w:br/>
      </w:r>
      <w:r>
        <w:rPr>
          <w:rStyle w:val="VerbatimChar"/>
        </w:rPr>
        <w:t xml:space="preserve">        ↓</w:t>
      </w:r>
      <w:r>
        <w:br/>
      </w:r>
      <w:r>
        <w:rPr>
          <w:rStyle w:val="VerbatimChar"/>
        </w:rPr>
        <w:t xml:space="preserve">Multimodal reasoning using text + images/video frames</w:t>
      </w:r>
      <w:r>
        <w:br/>
      </w:r>
      <w:r>
        <w:rPr>
          <w:rStyle w:val="VerbatimChar"/>
        </w:rPr>
        <w:t xml:space="preserve">        ↓</w:t>
      </w:r>
      <w:r>
        <w:br/>
      </w:r>
      <w:r>
        <w:rPr>
          <w:rStyle w:val="VerbatimChar"/>
        </w:rPr>
        <w:t xml:space="preserve">RAG, field context and deterministic policy validation</w:t>
      </w:r>
      <w:r>
        <w:br/>
      </w:r>
      <w:r>
        <w:rPr>
          <w:rStyle w:val="VerbatimChar"/>
        </w:rPr>
        <w:t xml:space="preserve">        ↓</w:t>
      </w:r>
      <w:r>
        <w:br/>
      </w:r>
      <w:r>
        <w:rPr>
          <w:rStyle w:val="VerbatimChar"/>
        </w:rPr>
        <w:t xml:space="preserve">Approved Urdu response text</w:t>
      </w:r>
      <w:r>
        <w:br/>
      </w:r>
      <w:r>
        <w:rPr>
          <w:rStyle w:val="VerbatimChar"/>
        </w:rPr>
        <w:t xml:space="preserve">        ↓</w:t>
      </w:r>
      <w:r>
        <w:br/>
      </w:r>
      <w:r>
        <w:rPr>
          <w:rStyle w:val="VerbatimChar"/>
        </w:rPr>
        <w:t xml:space="preserve">Streaming Urdu TTS</w:t>
      </w:r>
    </w:p>
    <w:p>
      <w:pPr>
        <w:pStyle w:val="FirstParagraph"/>
      </w:pPr>
      <w:r>
        <w:t xml:space="preserve">This is preferable to making a native speech-to-speech model the primary production engine.</w:t>
      </w:r>
    </w:p>
    <w:p>
      <w:pPr>
        <w:pStyle w:val="BodyText"/>
      </w:pPr>
      <w:r>
        <w:t xml:space="preserve">The cascaded architecture provides:</w:t>
      </w:r>
    </w:p>
    <w:p>
      <w:pPr>
        <w:pStyle w:val="Compact"/>
        <w:numPr>
          <w:ilvl w:val="0"/>
          <w:numId w:val="1001"/>
        </w:numPr>
      </w:pPr>
      <w:r>
        <w:t xml:space="preserve">complete transcripts;</w:t>
      </w:r>
    </w:p>
    <w:p>
      <w:pPr>
        <w:pStyle w:val="Compact"/>
        <w:numPr>
          <w:ilvl w:val="0"/>
          <w:numId w:val="1001"/>
        </w:numPr>
      </w:pPr>
      <w:r>
        <w:t xml:space="preserve">separately measurable STT and TTS quality;</w:t>
      </w:r>
    </w:p>
    <w:p>
      <w:pPr>
        <w:pStyle w:val="Compact"/>
        <w:numPr>
          <w:ilvl w:val="0"/>
          <w:numId w:val="1001"/>
        </w:numPr>
      </w:pPr>
      <w:r>
        <w:t xml:space="preserve">deterministic control over spoken advice;</w:t>
      </w:r>
    </w:p>
    <w:p>
      <w:pPr>
        <w:pStyle w:val="Compact"/>
        <w:numPr>
          <w:ilvl w:val="0"/>
          <w:numId w:val="1001"/>
        </w:numPr>
      </w:pPr>
      <w:r>
        <w:t xml:space="preserve">independent replacement of speech and multimodal providers;</w:t>
      </w:r>
    </w:p>
    <w:p>
      <w:pPr>
        <w:pStyle w:val="Compact"/>
        <w:numPr>
          <w:ilvl w:val="0"/>
          <w:numId w:val="1001"/>
        </w:numPr>
      </w:pPr>
      <w:r>
        <w:t xml:space="preserve">better auditability;</w:t>
      </w:r>
    </w:p>
    <w:p>
      <w:pPr>
        <w:pStyle w:val="Compact"/>
        <w:numPr>
          <w:ilvl w:val="0"/>
          <w:numId w:val="1001"/>
        </w:numPr>
      </w:pPr>
      <w:r>
        <w:t xml:space="preserve">stronger integration with RAG and agricultural rules;</w:t>
      </w:r>
    </w:p>
    <w:p>
      <w:pPr>
        <w:pStyle w:val="Compact"/>
        <w:numPr>
          <w:ilvl w:val="0"/>
          <w:numId w:val="1001"/>
        </w:numPr>
      </w:pPr>
      <w:r>
        <w:t xml:space="preserve">easier human review;</w:t>
      </w:r>
    </w:p>
    <w:p>
      <w:pPr>
        <w:pStyle w:val="Compact"/>
        <w:numPr>
          <w:ilvl w:val="0"/>
          <w:numId w:val="1001"/>
        </w:numPr>
      </w:pPr>
      <w:r>
        <w:t xml:space="preserve">a clearer route to on-premise deployment.</w:t>
      </w:r>
    </w:p>
    <w:p>
      <w:pPr>
        <w:pStyle w:val="FirstParagraph"/>
      </w:pPr>
      <w:r>
        <w:t xml:space="preserve">LiveKit’s current architecture guidance describes STT–LLM–TTS as the default for most production agents because it provides a full text trail, mature tool integration and interchangeable components, while realtime speech-to-speech models trade some of that control for lower latency and greater expressiveness.</w:t>
      </w:r>
    </w:p>
    <w:bookmarkStart w:id="23" w:name="final-recommendation"/>
    <w:p>
      <w:pPr>
        <w:pStyle w:val="Heading2"/>
      </w:pPr>
      <w:r>
        <w:t xml:space="preserve">Final recommendation</w:t>
      </w:r>
    </w:p>
    <w:p>
      <w:pPr>
        <w:pStyle w:val="FirstParagraph"/>
      </w:pPr>
      <w:r>
        <w:t xml:space="preserve">Proceed with:</w:t>
      </w:r>
    </w:p>
    <w:p>
      <w:pPr>
        <w:pStyle w:val="Compact"/>
        <w:numPr>
          <w:ilvl w:val="0"/>
          <w:numId w:val="1002"/>
        </w:numPr>
      </w:pPr>
      <w:r>
        <w:t xml:space="preserve">Flutter mobile application;</w:t>
      </w:r>
    </w:p>
    <w:p>
      <w:pPr>
        <w:pStyle w:val="Compact"/>
        <w:numPr>
          <w:ilvl w:val="0"/>
          <w:numId w:val="1002"/>
        </w:numPr>
      </w:pPr>
      <w:r>
        <w:t xml:space="preserve">LiveKit for realtime media transport;</w:t>
      </w:r>
    </w:p>
    <w:p>
      <w:pPr>
        <w:pStyle w:val="Compact"/>
        <w:numPr>
          <w:ilvl w:val="0"/>
          <w:numId w:val="1002"/>
        </w:numPr>
      </w:pPr>
      <w:r>
        <w:t xml:space="preserve">streaming Urdu STT;</w:t>
      </w:r>
    </w:p>
    <w:p>
      <w:pPr>
        <w:pStyle w:val="Compact"/>
        <w:numPr>
          <w:ilvl w:val="0"/>
          <w:numId w:val="1002"/>
        </w:numPr>
      </w:pPr>
      <w:r>
        <w:t xml:space="preserve">Gemini 3.6 Flash as the initial cloud multimodal reasoning candidate;</w:t>
      </w:r>
    </w:p>
    <w:p>
      <w:pPr>
        <w:pStyle w:val="Compact"/>
        <w:numPr>
          <w:ilvl w:val="0"/>
          <w:numId w:val="1002"/>
        </w:numPr>
      </w:pPr>
      <w:r>
        <w:t xml:space="preserve">an officially released and licensed Qwen vision-language model as the sovereign candidate;</w:t>
      </w:r>
    </w:p>
    <w:p>
      <w:pPr>
        <w:pStyle w:val="Compact"/>
        <w:numPr>
          <w:ilvl w:val="0"/>
          <w:numId w:val="1002"/>
        </w:numPr>
      </w:pPr>
      <w:r>
        <w:t xml:space="preserve">LangGraph for controlled decision orchestration;</w:t>
      </w:r>
    </w:p>
    <w:p>
      <w:pPr>
        <w:pStyle w:val="Compact"/>
        <w:numPr>
          <w:ilvl w:val="0"/>
          <w:numId w:val="1002"/>
        </w:numPr>
      </w:pPr>
      <w:r>
        <w:t xml:space="preserve">Qdrant plus lexical retrieval for the knowledge layer;</w:t>
      </w:r>
    </w:p>
    <w:p>
      <w:pPr>
        <w:pStyle w:val="Compact"/>
        <w:numPr>
          <w:ilvl w:val="0"/>
          <w:numId w:val="1002"/>
        </w:numPr>
      </w:pPr>
      <w:r>
        <w:t xml:space="preserve">PostgreSQL/PostGIS for operational and geospatial records;</w:t>
      </w:r>
    </w:p>
    <w:p>
      <w:pPr>
        <w:pStyle w:val="Compact"/>
        <w:numPr>
          <w:ilvl w:val="0"/>
          <w:numId w:val="1002"/>
        </w:numPr>
      </w:pPr>
      <w:r>
        <w:t xml:space="preserve">a deterministic agricultural policy engine;</w:t>
      </w:r>
    </w:p>
    <w:p>
      <w:pPr>
        <w:pStyle w:val="Compact"/>
        <w:numPr>
          <w:ilvl w:val="0"/>
          <w:numId w:val="1002"/>
        </w:numPr>
      </w:pPr>
      <w:r>
        <w:t xml:space="preserve">streaming Urdu TTS;</w:t>
      </w:r>
    </w:p>
    <w:p>
      <w:pPr>
        <w:pStyle w:val="Compact"/>
        <w:numPr>
          <w:ilvl w:val="0"/>
          <w:numId w:val="1002"/>
        </w:numPr>
      </w:pPr>
      <w:r>
        <w:t xml:space="preserve">human escalation for uncertain or high-risk cases.</w:t>
      </w:r>
    </w:p>
    <w:p>
      <w:pPr>
        <w:pStyle w:val="FirstParagraph"/>
      </w:pPr>
      <w:r>
        <w:t xml:space="preserve">The multimodal model must support diagnosis and evidence interpretation. It must</w:t>
      </w:r>
      <w:r>
        <w:t xml:space="preserve"> </w:t>
      </w:r>
      <w:r>
        <w:rPr>
          <w:b/>
          <w:bCs/>
        </w:rPr>
        <w:t xml:space="preserve">not</w:t>
      </w:r>
      <w:r>
        <w:t xml:space="preserve"> </w:t>
      </w:r>
      <w:r>
        <w:t xml:space="preserve">independently determine pesticide dosage or safety-critical treatment instructions.</w:t>
      </w:r>
    </w:p>
    <w:p>
      <w:r>
        <w:pict>
          <v:rect style="width:0;height:1.5pt" o:hralign="center" o:hrstd="t" o:hr="t"/>
        </w:pict>
      </w:r>
    </w:p>
    <w:bookmarkEnd w:id="23"/>
    <w:bookmarkEnd w:id="24"/>
    <w:bookmarkStart w:id="26" w:name="draft-audit-and-corrections-incorporated"/>
    <w:p>
      <w:pPr>
        <w:pStyle w:val="Heading1"/>
      </w:pPr>
      <w:r>
        <w:t xml:space="preserve">2. Draft audit and corrections incorporated</w:t>
      </w:r>
    </w:p>
    <w:p>
      <w:pPr>
        <w:pStyle w:val="FirstParagraph"/>
      </w:pPr>
      <w:r>
        <w:t xml:space="preserve">Before finalizing this plan, the architecture was checked against the following requirements.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Audit area</w:t>
            </w:r>
          </w:p>
        </w:tc>
        <w:tc>
          <w:tcPr/>
          <w:p>
            <w:pPr>
              <w:pStyle w:val="Compact"/>
            </w:pPr>
            <w:r>
              <w:t xml:space="preserve">Result</w:t>
            </w:r>
          </w:p>
        </w:tc>
        <w:tc>
          <w:tcPr/>
          <w:p>
            <w:pPr>
              <w:pStyle w:val="Compact"/>
            </w:pPr>
            <w:r>
              <w:t xml:space="preserve">Correction incorporated</w:t>
            </w:r>
          </w:p>
        </w:tc>
      </w:tr>
      <w:tr>
        <w:tc>
          <w:tcPr/>
          <w:p>
            <w:pPr>
              <w:pStyle w:val="Compact"/>
            </w:pPr>
            <w:r>
              <w:t xml:space="preserve">Current Gemini model selection</w:t>
            </w:r>
          </w:p>
        </w:tc>
        <w:tc>
          <w:tcPr/>
          <w:p>
            <w:pPr>
              <w:pStyle w:val="Compact"/>
            </w:pPr>
            <w:r>
              <w:t xml:space="preserve">Passed after correction</w:t>
            </w:r>
          </w:p>
        </w:tc>
        <w:tc>
          <w:tcPr/>
          <w:p>
            <w:pPr>
              <w:pStyle w:val="Compact"/>
            </w:pPr>
            <w:r>
              <w:t xml:space="preserve">Gemini 3.6 Flash is treated as multimodal text-output reasoning, not native speech-to-speech</w:t>
            </w:r>
          </w:p>
        </w:tc>
      </w:tr>
      <w:tr>
        <w:tc>
          <w:tcPr/>
          <w:p>
            <w:pPr>
              <w:pStyle w:val="Compact"/>
            </w:pPr>
            <w:r>
              <w:t xml:space="preserve">Current Qwen status</w:t>
            </w:r>
          </w:p>
        </w:tc>
        <w:tc>
          <w:tcPr/>
          <w:p>
            <w:pPr>
              <w:pStyle w:val="Compact"/>
            </w:pPr>
            <w:r>
              <w:t xml:space="preserve">Conditional</w:t>
            </w:r>
          </w:p>
        </w:tc>
        <w:tc>
          <w:tcPr/>
          <w:p>
            <w:pPr>
              <w:pStyle w:val="Compact"/>
            </w:pPr>
            <w:r>
              <w:t xml:space="preserve">Architecture uses a capability-based slot rather than depending on an unverified model name</w:t>
            </w:r>
          </w:p>
        </w:tc>
      </w:tr>
      <w:tr>
        <w:tc>
          <w:tcPr/>
          <w:p>
            <w:pPr>
              <w:pStyle w:val="Compact"/>
            </w:pPr>
            <w:r>
              <w:t xml:space="preserve">Urdu speech support</w:t>
            </w:r>
          </w:p>
        </w:tc>
        <w:tc>
          <w:tcPr/>
          <w:p>
            <w:pPr>
              <w:pStyle w:val="Compact"/>
            </w:pPr>
            <w:r>
              <w:t xml:space="preserve">Conditional</w:t>
            </w:r>
          </w:p>
        </w:tc>
        <w:tc>
          <w:tcPr/>
          <w:p>
            <w:pPr>
              <w:pStyle w:val="Compact"/>
            </w:pPr>
            <w:r>
              <w:t xml:space="preserve">Deepgram and Azure must be benchmarked on Punjab speech; vendor support alone is insufficient</w:t>
            </w:r>
          </w:p>
        </w:tc>
      </w:tr>
      <w:tr>
        <w:tc>
          <w:tcPr/>
          <w:p>
            <w:pPr>
              <w:pStyle w:val="Compact"/>
            </w:pPr>
            <w:r>
              <w:t xml:space="preserve">Low-latency design</w:t>
            </w:r>
          </w:p>
        </w:tc>
        <w:tc>
          <w:tcPr/>
          <w:p>
            <w:pPr>
              <w:pStyle w:val="Compact"/>
            </w:pPr>
            <w:r>
              <w:t xml:space="preserve">Passed</w:t>
            </w:r>
          </w:p>
        </w:tc>
        <w:tc>
          <w:tcPr/>
          <w:p>
            <w:pPr>
              <w:pStyle w:val="Compact"/>
            </w:pPr>
            <w:r>
              <w:t xml:space="preserve">Media handling is separated from LangGraph, RAG and policy services</w:t>
            </w:r>
          </w:p>
        </w:tc>
      </w:tr>
      <w:tr>
        <w:tc>
          <w:tcPr/>
          <w:p>
            <w:pPr>
              <w:pStyle w:val="Compact"/>
            </w:pPr>
            <w:r>
              <w:t xml:space="preserve">Agricultural safety</w:t>
            </w:r>
          </w:p>
        </w:tc>
        <w:tc>
          <w:tcPr/>
          <w:p>
            <w:pPr>
              <w:pStyle w:val="Compact"/>
            </w:pPr>
            <w:r>
              <w:t xml:space="preserve">Passed after redesign</w:t>
            </w:r>
          </w:p>
        </w:tc>
        <w:tc>
          <w:tcPr/>
          <w:p>
            <w:pPr>
              <w:pStyle w:val="Compact"/>
            </w:pPr>
            <w:r>
              <w:t xml:space="preserve">Deterministic policy engine added</w:t>
            </w:r>
          </w:p>
        </w:tc>
      </w:tr>
      <w:tr>
        <w:tc>
          <w:tcPr/>
          <w:p>
            <w:pPr>
              <w:pStyle w:val="Compact"/>
            </w:pPr>
            <w:r>
              <w:t xml:space="preserve">Auditability</w:t>
            </w:r>
          </w:p>
        </w:tc>
        <w:tc>
          <w:tcPr/>
          <w:p>
            <w:pPr>
              <w:pStyle w:val="Compact"/>
            </w:pPr>
            <w:r>
              <w:t xml:space="preserve">Passed</w:t>
            </w:r>
          </w:p>
        </w:tc>
        <w:tc>
          <w:tcPr/>
          <w:p>
            <w:pPr>
              <w:pStyle w:val="Compact"/>
            </w:pPr>
            <w:r>
              <w:t xml:space="preserve">Full stage-by-stage records specified</w:t>
            </w:r>
          </w:p>
        </w:tc>
      </w:tr>
      <w:tr>
        <w:tc>
          <w:tcPr/>
          <w:p>
            <w:pPr>
              <w:pStyle w:val="Compact"/>
            </w:pPr>
            <w:r>
              <w:t xml:space="preserve">Rural network operation</w:t>
            </w:r>
          </w:p>
        </w:tc>
        <w:tc>
          <w:tcPr/>
          <w:p>
            <w:pPr>
              <w:pStyle w:val="Compact"/>
            </w:pPr>
            <w:r>
              <w:t xml:space="preserve">Passed after redesign</w:t>
            </w:r>
          </w:p>
        </w:tc>
        <w:tc>
          <w:tcPr/>
          <w:p>
            <w:pPr>
              <w:pStyle w:val="Compact"/>
            </w:pPr>
            <w:r>
              <w:t xml:space="preserve">Guided still images and short videos replace continuous video as the default</w:t>
            </w:r>
          </w:p>
        </w:tc>
      </w:tr>
      <w:tr>
        <w:tc>
          <w:tcPr/>
          <w:p>
            <w:pPr>
              <w:pStyle w:val="Compact"/>
            </w:pPr>
            <w:r>
              <w:t xml:space="preserve">Scalability</w:t>
            </w:r>
          </w:p>
        </w:tc>
        <w:tc>
          <w:tcPr/>
          <w:p>
            <w:pPr>
              <w:pStyle w:val="Compact"/>
            </w:pPr>
            <w:r>
              <w:t xml:space="preserve">Passed after redesign</w:t>
            </w:r>
          </w:p>
        </w:tc>
        <w:tc>
          <w:tcPr/>
          <w:p>
            <w:pPr>
              <w:pStyle w:val="Compact"/>
            </w:pPr>
            <w:r>
              <w:t xml:space="preserve">Single-container deployment replaced by clustered services and independent worker pools</w:t>
            </w:r>
          </w:p>
        </w:tc>
      </w:tr>
      <w:tr>
        <w:tc>
          <w:tcPr/>
          <w:p>
            <w:pPr>
              <w:pStyle w:val="Compact"/>
            </w:pPr>
            <w:r>
              <w:t xml:space="preserve">Government sovereignty</w:t>
            </w:r>
          </w:p>
        </w:tc>
        <w:tc>
          <w:tcPr/>
          <w:p>
            <w:pPr>
              <w:pStyle w:val="Compact"/>
            </w:pPr>
            <w:r>
              <w:t xml:space="preserve">Conditional</w:t>
            </w:r>
          </w:p>
        </w:tc>
        <w:tc>
          <w:tcPr/>
          <w:p>
            <w:pPr>
              <w:pStyle w:val="Compact"/>
            </w:pPr>
            <w:r>
              <w:t xml:space="preserve">Three explicit deployment classifications defined</w:t>
            </w:r>
          </w:p>
        </w:tc>
      </w:tr>
      <w:tr>
        <w:tc>
          <w:tcPr/>
          <w:p>
            <w:pPr>
              <w:pStyle w:val="Compact"/>
            </w:pPr>
            <w:r>
              <w:t xml:space="preserve">Human oversight</w:t>
            </w:r>
          </w:p>
        </w:tc>
        <w:tc>
          <w:tcPr/>
          <w:p>
            <w:pPr>
              <w:pStyle w:val="Compact"/>
            </w:pPr>
            <w:r>
              <w:t xml:space="preserve">Passed</w:t>
            </w:r>
          </w:p>
        </w:tc>
        <w:tc>
          <w:tcPr/>
          <w:p>
            <w:pPr>
              <w:pStyle w:val="Compact"/>
            </w:pPr>
            <w:r>
              <w:t xml:space="preserve">Confidence- and risk-based escalation included</w:t>
            </w:r>
          </w:p>
        </w:tc>
      </w:tr>
      <w:tr>
        <w:tc>
          <w:tcPr/>
          <w:p>
            <w:pPr>
              <w:pStyle w:val="Compact"/>
            </w:pPr>
            <w:r>
              <w:t xml:space="preserve">Four-month pilot feasibility</w:t>
            </w:r>
          </w:p>
        </w:tc>
        <w:tc>
          <w:tcPr/>
          <w:p>
            <w:pPr>
              <w:pStyle w:val="Compact"/>
            </w:pPr>
            <w:r>
              <w:t xml:space="preserve">Passed with scope restriction</w:t>
            </w:r>
          </w:p>
        </w:tc>
        <w:tc>
          <w:tcPr/>
          <w:p>
            <w:pPr>
              <w:pStyle w:val="Compact"/>
            </w:pPr>
            <w:r>
              <w:t xml:space="preserve">Pilot limited to selected crops, districts and approved diagnoses</w:t>
            </w:r>
          </w:p>
        </w:tc>
      </w:tr>
      <w:tr>
        <w:tc>
          <w:tcPr/>
          <w:p>
            <w:pPr>
              <w:pStyle w:val="Compact"/>
            </w:pPr>
            <w:r>
              <w:t xml:space="preserve">Province-wide readiness</w:t>
            </w:r>
          </w:p>
        </w:tc>
        <w:tc>
          <w:tcPr/>
          <w:p>
            <w:pPr>
              <w:pStyle w:val="Compact"/>
            </w:pPr>
            <w:r>
              <w:t xml:space="preserve">Not assumed</w:t>
            </w:r>
          </w:p>
        </w:tc>
        <w:tc>
          <w:tcPr/>
          <w:p>
            <w:pPr>
              <w:pStyle w:val="Compact"/>
            </w:pPr>
            <w:r>
              <w:t xml:space="preserve">Requires production-hardening phase after pilot</w:t>
            </w:r>
          </w:p>
        </w:tc>
      </w:tr>
    </w:tbl>
    <w:bookmarkStart w:id="25" w:name="model-verification-note"/>
    <w:p>
      <w:pPr>
        <w:pStyle w:val="Heading2"/>
      </w:pPr>
      <w:r>
        <w:t xml:space="preserve">Model verification note</w:t>
      </w:r>
    </w:p>
    <w:p>
      <w:pPr>
        <w:pStyle w:val="FirstParagraph"/>
      </w:pPr>
      <w:r>
        <w:t xml:space="preserve">Gemini 3.6 Flash is currently a stable, generally available model supporting text, image, video, audio and PDF input, but its output is text and it does not support the Live API. It should therefore be used behind the decision workflow rather than as the realtime speech transport.</w:t>
      </w:r>
    </w:p>
    <w:p>
      <w:pPr>
        <w:pStyle w:val="BodyText"/>
      </w:pPr>
      <w:r>
        <w:t xml:space="preserve">The official Qwen GitHub organization currently highlights Qwen3.6, Qwen3-VL and Qwen3-Omni. I could not verify an official Qwen4 repository or model card from the official sources searched. Consequently,</w:t>
      </w:r>
      <w:r>
        <w:t xml:space="preserve"> </w:t>
      </w:r>
      <w:r>
        <w:t xml:space="preserve">“Qwen4”</w:t>
      </w:r>
      <w:r>
        <w:t xml:space="preserve"> </w:t>
      </w:r>
      <w:r>
        <w:t xml:space="preserve">should be treated as a procurement candidate only after its exact official checkpoint, licence, model card and serving requirements are documented.</w:t>
      </w:r>
    </w:p>
    <w:p>
      <w:pPr>
        <w:pStyle w:val="BodyText"/>
      </w:pPr>
      <w:r>
        <w:t xml:space="preserve">This does not materially affect the architecture because the model gateway is designed to replace models without changing the rest of the application.</w:t>
      </w:r>
    </w:p>
    <w:p>
      <w:r>
        <w:pict>
          <v:rect style="width:0;height:1.5pt" o:hralign="center" o:hrstd="t" o:hr="t"/>
        </w:pict>
      </w:r>
    </w:p>
    <w:bookmarkEnd w:id="25"/>
    <w:bookmarkEnd w:id="26"/>
    <w:bookmarkStart w:id="27" w:name="programme-objectives"/>
    <w:p>
      <w:pPr>
        <w:pStyle w:val="Heading1"/>
      </w:pPr>
      <w:r>
        <w:t xml:space="preserve">3. Programme objectives</w:t>
      </w:r>
    </w:p>
    <w:p>
      <w:pPr>
        <w:pStyle w:val="FirstParagraph"/>
      </w:pPr>
      <w:r>
        <w:t xml:space="preserve">The platform should enable a farmer to:</w:t>
      </w:r>
    </w:p>
    <w:p>
      <w:pPr>
        <w:pStyle w:val="Compact"/>
        <w:numPr>
          <w:ilvl w:val="0"/>
          <w:numId w:val="1003"/>
        </w:numPr>
      </w:pPr>
      <w:r>
        <w:t xml:space="preserve">Speak naturally in Urdu.</w:t>
      </w:r>
    </w:p>
    <w:p>
      <w:pPr>
        <w:pStyle w:val="Compact"/>
        <w:numPr>
          <w:ilvl w:val="0"/>
          <w:numId w:val="1003"/>
        </w:numPr>
      </w:pPr>
      <w:r>
        <w:t xml:space="preserve">Describe a crop problem without typing.</w:t>
      </w:r>
    </w:p>
    <w:p>
      <w:pPr>
        <w:pStyle w:val="Compact"/>
        <w:numPr>
          <w:ilvl w:val="0"/>
          <w:numId w:val="1003"/>
        </w:numPr>
      </w:pPr>
      <w:r>
        <w:t xml:space="preserve">Capture guided photographs or a short video.</w:t>
      </w:r>
    </w:p>
    <w:p>
      <w:pPr>
        <w:pStyle w:val="Compact"/>
        <w:numPr>
          <w:ilvl w:val="0"/>
          <w:numId w:val="1003"/>
        </w:numPr>
      </w:pPr>
      <w:r>
        <w:t xml:space="preserve">Receive a likely diagnosis supported by approved departmental knowledge.</w:t>
      </w:r>
    </w:p>
    <w:p>
      <w:pPr>
        <w:pStyle w:val="Compact"/>
        <w:numPr>
          <w:ilvl w:val="0"/>
          <w:numId w:val="1003"/>
        </w:numPr>
      </w:pPr>
      <w:r>
        <w:t xml:space="preserve">Receive a safe immediate action or an escalation instruction.</w:t>
      </w:r>
    </w:p>
    <w:p>
      <w:pPr>
        <w:pStyle w:val="Compact"/>
        <w:numPr>
          <w:ilvl w:val="0"/>
          <w:numId w:val="1003"/>
        </w:numPr>
      </w:pPr>
      <w:r>
        <w:t xml:space="preserve">Review a written Urdu summary.</w:t>
      </w:r>
    </w:p>
    <w:p>
      <w:pPr>
        <w:pStyle w:val="Compact"/>
        <w:numPr>
          <w:ilvl w:val="0"/>
          <w:numId w:val="1003"/>
        </w:numPr>
      </w:pPr>
      <w:r>
        <w:t xml:space="preserve">Forward the case to a field officer where required.</w:t>
      </w:r>
    </w:p>
    <w:p>
      <w:pPr>
        <w:pStyle w:val="FirstParagraph"/>
      </w:pPr>
      <w:r>
        <w:t xml:space="preserve">The department should be able to:</w:t>
      </w:r>
    </w:p>
    <w:p>
      <w:pPr>
        <w:pStyle w:val="Compact"/>
        <w:numPr>
          <w:ilvl w:val="0"/>
          <w:numId w:val="1004"/>
        </w:numPr>
      </w:pPr>
      <w:r>
        <w:t xml:space="preserve">control the official knowledge base;</w:t>
      </w:r>
    </w:p>
    <w:p>
      <w:pPr>
        <w:pStyle w:val="Compact"/>
        <w:numPr>
          <w:ilvl w:val="0"/>
          <w:numId w:val="1004"/>
        </w:numPr>
      </w:pPr>
      <w:r>
        <w:t xml:space="preserve">approve or withdraw guidance;</w:t>
      </w:r>
    </w:p>
    <w:p>
      <w:pPr>
        <w:pStyle w:val="Compact"/>
        <w:numPr>
          <w:ilvl w:val="0"/>
          <w:numId w:val="1004"/>
        </w:numPr>
      </w:pPr>
      <w:r>
        <w:t xml:space="preserve">audit every recommendation;</w:t>
      </w:r>
    </w:p>
    <w:p>
      <w:pPr>
        <w:pStyle w:val="Compact"/>
        <w:numPr>
          <w:ilvl w:val="0"/>
          <w:numId w:val="1004"/>
        </w:numPr>
      </w:pPr>
      <w:r>
        <w:t xml:space="preserve">see emerging geographic patterns;</w:t>
      </w:r>
    </w:p>
    <w:p>
      <w:pPr>
        <w:pStyle w:val="Compact"/>
        <w:numPr>
          <w:ilvl w:val="0"/>
          <w:numId w:val="1004"/>
        </w:numPr>
      </w:pPr>
      <w:r>
        <w:t xml:space="preserve">measure model performance;</w:t>
      </w:r>
    </w:p>
    <w:p>
      <w:pPr>
        <w:pStyle w:val="Compact"/>
        <w:numPr>
          <w:ilvl w:val="0"/>
          <w:numId w:val="1004"/>
        </w:numPr>
      </w:pPr>
      <w:r>
        <w:t xml:space="preserve">override incorrect recommendations;</w:t>
      </w:r>
    </w:p>
    <w:p>
      <w:pPr>
        <w:pStyle w:val="Compact"/>
        <w:numPr>
          <w:ilvl w:val="0"/>
          <w:numId w:val="1004"/>
        </w:numPr>
      </w:pPr>
      <w:r>
        <w:t xml:space="preserve">update policies without retraining the main model;</w:t>
      </w:r>
    </w:p>
    <w:p>
      <w:pPr>
        <w:pStyle w:val="Compact"/>
        <w:numPr>
          <w:ilvl w:val="0"/>
          <w:numId w:val="1004"/>
        </w:numPr>
      </w:pPr>
      <w:r>
        <w:t xml:space="preserve">operate the platform under an approved data-governance model.</w:t>
      </w:r>
    </w:p>
    <w:p>
      <w:r>
        <w:pict>
          <v:rect style="width:0;height:1.5pt" o:hralign="center" o:hrstd="t" o:hr="t"/>
        </w:pict>
      </w:r>
    </w:p>
    <w:bookmarkEnd w:id="27"/>
    <w:bookmarkStart w:id="30" w:name="pilot-scope"/>
    <w:p>
      <w:pPr>
        <w:pStyle w:val="Heading1"/>
      </w:pPr>
      <w:r>
        <w:t xml:space="preserve">4. Pilot scope</w:t>
      </w:r>
    </w:p>
    <w:p>
      <w:pPr>
        <w:pStyle w:val="FirstParagraph"/>
      </w:pPr>
      <w:r>
        <w:t xml:space="preserve">A four-month pilot should not attempt unrestricted diagnosis for every crop and every agricultural condition.</w:t>
      </w:r>
    </w:p>
    <w:bookmarkStart w:id="28" w:name="recommended-pilot-boundary"/>
    <w:p>
      <w:pPr>
        <w:pStyle w:val="Heading2"/>
      </w:pPr>
      <w:r>
        <w:t xml:space="preserve">Recommended pilot boundary</w:t>
      </w:r>
    </w:p>
    <w:p>
      <w:pPr>
        <w:pStyle w:val="Compact"/>
        <w:numPr>
          <w:ilvl w:val="0"/>
          <w:numId w:val="1005"/>
        </w:numPr>
      </w:pPr>
      <w:r>
        <w:rPr>
          <w:b/>
          <w:bCs/>
        </w:rPr>
        <w:t xml:space="preserve">Districts:</w:t>
      </w:r>
      <w:r>
        <w:t xml:space="preserve"> </w:t>
      </w:r>
      <w:r>
        <w:t xml:space="preserve">Two districts with different speech and crop profiles.</w:t>
      </w:r>
    </w:p>
    <w:p>
      <w:pPr>
        <w:pStyle w:val="Compact"/>
        <w:numPr>
          <w:ilvl w:val="0"/>
          <w:numId w:val="1005"/>
        </w:numPr>
      </w:pPr>
      <w:r>
        <w:rPr>
          <w:b/>
          <w:bCs/>
        </w:rPr>
        <w:t xml:space="preserve">Crops:</w:t>
      </w:r>
      <w:r>
        <w:t xml:space="preserve"> </w:t>
      </w:r>
      <w:r>
        <w:t xml:space="preserve">One primary crop and one secondary crop.</w:t>
      </w:r>
    </w:p>
    <w:p>
      <w:pPr>
        <w:pStyle w:val="Compact"/>
        <w:numPr>
          <w:ilvl w:val="0"/>
          <w:numId w:val="1005"/>
        </w:numPr>
      </w:pPr>
      <w:r>
        <w:rPr>
          <w:b/>
          <w:bCs/>
        </w:rPr>
        <w:t xml:space="preserve">Conditions:</w:t>
      </w:r>
      <w:r>
        <w:t xml:space="preserve"> </w:t>
      </w:r>
      <w:r>
        <w:t xml:space="preserve">Approximately 15–25 common diseases, pests and deficiencies.</w:t>
      </w:r>
    </w:p>
    <w:p>
      <w:pPr>
        <w:pStyle w:val="Compact"/>
        <w:numPr>
          <w:ilvl w:val="0"/>
          <w:numId w:val="1005"/>
        </w:numPr>
      </w:pPr>
      <w:r>
        <w:rPr>
          <w:b/>
          <w:bCs/>
        </w:rPr>
        <w:t xml:space="preserve">Knowledge:</w:t>
      </w:r>
      <w:r>
        <w:t xml:space="preserve"> </w:t>
      </w:r>
      <w:r>
        <w:t xml:space="preserve">Only officially approved manuals, advisories and structured product rules.</w:t>
      </w:r>
    </w:p>
    <w:p>
      <w:pPr>
        <w:pStyle w:val="Compact"/>
        <w:numPr>
          <w:ilvl w:val="0"/>
          <w:numId w:val="1005"/>
        </w:numPr>
      </w:pPr>
      <w:r>
        <w:rPr>
          <w:b/>
          <w:bCs/>
        </w:rPr>
        <w:t xml:space="preserve">Users:</w:t>
      </w:r>
      <w:r>
        <w:t xml:space="preserve"> </w:t>
      </w:r>
      <w:r>
        <w:t xml:space="preserve">Controlled farmer cohort plus participating field officers.</w:t>
      </w:r>
    </w:p>
    <w:p>
      <w:pPr>
        <w:pStyle w:val="Compact"/>
        <w:numPr>
          <w:ilvl w:val="0"/>
          <w:numId w:val="1005"/>
        </w:numPr>
      </w:pPr>
      <w:r>
        <w:rPr>
          <w:b/>
          <w:bCs/>
        </w:rPr>
        <w:t xml:space="preserve">Advice:</w:t>
      </w:r>
      <w:r>
        <w:t xml:space="preserve"> </w:t>
      </w:r>
      <w:r>
        <w:t xml:space="preserve">Diagnosis, safe immediate measures, prevention and officer escalation.</w:t>
      </w:r>
    </w:p>
    <w:p>
      <w:pPr>
        <w:pStyle w:val="Compact"/>
        <w:numPr>
          <w:ilvl w:val="0"/>
          <w:numId w:val="1005"/>
        </w:numPr>
      </w:pPr>
      <w:r>
        <w:rPr>
          <w:b/>
          <w:bCs/>
        </w:rPr>
        <w:t xml:space="preserve">Chemical recommendations:</w:t>
      </w:r>
      <w:r>
        <w:t xml:space="preserve"> </w:t>
      </w:r>
      <w:r>
        <w:t xml:space="preserve">Only where a structured policy rule exists.</w:t>
      </w:r>
    </w:p>
    <w:p>
      <w:pPr>
        <w:pStyle w:val="Compact"/>
        <w:numPr>
          <w:ilvl w:val="0"/>
          <w:numId w:val="1005"/>
        </w:numPr>
      </w:pPr>
      <w:r>
        <w:rPr>
          <w:b/>
          <w:bCs/>
        </w:rPr>
        <w:t xml:space="preserve">Video:</w:t>
      </w:r>
      <w:r>
        <w:t xml:space="preserve"> </w:t>
      </w:r>
      <w:r>
        <w:t xml:space="preserve">Short guided clips, not continuous video streaming.</w:t>
      </w:r>
    </w:p>
    <w:p>
      <w:pPr>
        <w:pStyle w:val="Compact"/>
        <w:numPr>
          <w:ilvl w:val="0"/>
          <w:numId w:val="1005"/>
        </w:numPr>
      </w:pPr>
      <w:r>
        <w:rPr>
          <w:b/>
          <w:bCs/>
        </w:rPr>
        <w:t xml:space="preserve">Languages:</w:t>
      </w:r>
      <w:r>
        <w:t xml:space="preserve"> </w:t>
      </w:r>
      <w:r>
        <w:t xml:space="preserve">Pakistani Urdu plus common Urdu-English agricultural code-switching.</w:t>
      </w:r>
    </w:p>
    <w:p>
      <w:pPr>
        <w:pStyle w:val="Compact"/>
        <w:numPr>
          <w:ilvl w:val="0"/>
          <w:numId w:val="1005"/>
        </w:numPr>
      </w:pPr>
      <w:r>
        <w:rPr>
          <w:b/>
          <w:bCs/>
        </w:rPr>
        <w:t xml:space="preserve">Regional speech:</w:t>
      </w:r>
      <w:r>
        <w:t xml:space="preserve"> </w:t>
      </w:r>
      <w:r>
        <w:t xml:space="preserve">At least two regional accent groups in the pilot dataset.</w:t>
      </w:r>
    </w:p>
    <w:bookmarkEnd w:id="28"/>
    <w:bookmarkStart w:id="29" w:name="explicit-pilot-non-goals"/>
    <w:p>
      <w:pPr>
        <w:pStyle w:val="Heading2"/>
      </w:pPr>
      <w:r>
        <w:t xml:space="preserve">Explicit pilot non-goals</w:t>
      </w:r>
    </w:p>
    <w:p>
      <w:pPr>
        <w:pStyle w:val="FirstParagraph"/>
      </w:pPr>
      <w:r>
        <w:t xml:space="preserve">The pilot should not:</w:t>
      </w:r>
    </w:p>
    <w:p>
      <w:pPr>
        <w:pStyle w:val="Compact"/>
        <w:numPr>
          <w:ilvl w:val="0"/>
          <w:numId w:val="1006"/>
        </w:numPr>
      </w:pPr>
      <w:r>
        <w:t xml:space="preserve">replace field officers;</w:t>
      </w:r>
    </w:p>
    <w:p>
      <w:pPr>
        <w:pStyle w:val="Compact"/>
        <w:numPr>
          <w:ilvl w:val="0"/>
          <w:numId w:val="1006"/>
        </w:numPr>
      </w:pPr>
      <w:r>
        <w:t xml:space="preserve">guarantee laboratory-level diagnosis;</w:t>
      </w:r>
    </w:p>
    <w:p>
      <w:pPr>
        <w:pStyle w:val="Compact"/>
        <w:numPr>
          <w:ilvl w:val="0"/>
          <w:numId w:val="1006"/>
        </w:numPr>
      </w:pPr>
      <w:r>
        <w:t xml:space="preserve">issue unrestricted pesticide prescriptions;</w:t>
      </w:r>
    </w:p>
    <w:p>
      <w:pPr>
        <w:pStyle w:val="Compact"/>
        <w:numPr>
          <w:ilvl w:val="0"/>
          <w:numId w:val="1006"/>
        </w:numPr>
      </w:pPr>
      <w:r>
        <w:t xml:space="preserve">cover every crop in Punjab;</w:t>
      </w:r>
    </w:p>
    <w:p>
      <w:pPr>
        <w:pStyle w:val="Compact"/>
        <w:numPr>
          <w:ilvl w:val="0"/>
          <w:numId w:val="1006"/>
        </w:numPr>
      </w:pPr>
      <w:r>
        <w:t xml:space="preserve">provide fully autonomous outbreak declarations;</w:t>
      </w:r>
    </w:p>
    <w:p>
      <w:pPr>
        <w:pStyle w:val="Compact"/>
        <w:numPr>
          <w:ilvl w:val="0"/>
          <w:numId w:val="1006"/>
        </w:numPr>
      </w:pPr>
      <w:r>
        <w:t xml:space="preserve">operate completely offline for advanced diagnosis;</w:t>
      </w:r>
    </w:p>
    <w:p>
      <w:pPr>
        <w:pStyle w:val="Compact"/>
        <w:numPr>
          <w:ilvl w:val="0"/>
          <w:numId w:val="1006"/>
        </w:numPr>
      </w:pPr>
      <w:r>
        <w:t xml:space="preserve">use unapproved internet material as agricultural authority;</w:t>
      </w:r>
    </w:p>
    <w:p>
      <w:pPr>
        <w:pStyle w:val="Compact"/>
        <w:numPr>
          <w:ilvl w:val="0"/>
          <w:numId w:val="1006"/>
        </w:numPr>
      </w:pPr>
      <w:r>
        <w:t xml:space="preserve">infer dosage from unstructured manual text alone.</w:t>
      </w:r>
    </w:p>
    <w:p>
      <w:r>
        <w:pict>
          <v:rect style="width:0;height:1.5pt" o:hralign="center" o:hrstd="t" o:hr="t"/>
        </w:pict>
      </w:r>
    </w:p>
    <w:bookmarkEnd w:id="29"/>
    <w:bookmarkEnd w:id="30"/>
    <w:bookmarkStart w:id="38" w:name="design-principles"/>
    <w:p>
      <w:pPr>
        <w:pStyle w:val="Heading1"/>
      </w:pPr>
      <w:r>
        <w:t xml:space="preserve">5. Design principles</w:t>
      </w:r>
    </w:p>
    <w:bookmarkStart w:id="31" w:name="safety-before-conversational-fluency"/>
    <w:p>
      <w:pPr>
        <w:pStyle w:val="Heading2"/>
      </w:pPr>
      <w:r>
        <w:t xml:space="preserve">5.1 Safety before conversational fluency</w:t>
      </w:r>
    </w:p>
    <w:p>
      <w:pPr>
        <w:pStyle w:val="FirstParagraph"/>
      </w:pPr>
      <w:r>
        <w:t xml:space="preserve">A slightly slower but validated answer is preferable to a fast unsafe answer.</w:t>
      </w:r>
    </w:p>
    <w:bookmarkEnd w:id="31"/>
    <w:bookmarkStart w:id="32" w:name="models-propose-rules-authorize"/>
    <w:p>
      <w:pPr>
        <w:pStyle w:val="Heading2"/>
      </w:pPr>
      <w:r>
        <w:t xml:space="preserve">5.2 Models propose; rules authorize</w:t>
      </w:r>
    </w:p>
    <w:p>
      <w:pPr>
        <w:pStyle w:val="FirstParagraph"/>
      </w:pPr>
      <w:r>
        <w:t xml:space="preserve">The multimodal model may identify observations and likely conditions. The policy engine determines which treatment instructions are legally and agronomically permitted.</w:t>
      </w:r>
    </w:p>
    <w:bookmarkEnd w:id="32"/>
    <w:bookmarkStart w:id="33" w:name="evidence-must-be-attributable"/>
    <w:p>
      <w:pPr>
        <w:pStyle w:val="Heading2"/>
      </w:pPr>
      <w:r>
        <w:t xml:space="preserve">5.3 Evidence must be attributable</w:t>
      </w:r>
    </w:p>
    <w:p>
      <w:pPr>
        <w:pStyle w:val="FirstParagraph"/>
      </w:pPr>
      <w:r>
        <w:t xml:space="preserve">Every material recommendation must be connected to:</w:t>
      </w:r>
    </w:p>
    <w:p>
      <w:pPr>
        <w:pStyle w:val="Compact"/>
        <w:numPr>
          <w:ilvl w:val="0"/>
          <w:numId w:val="1007"/>
        </w:numPr>
      </w:pPr>
      <w:r>
        <w:t xml:space="preserve">an approved source;</w:t>
      </w:r>
    </w:p>
    <w:p>
      <w:pPr>
        <w:pStyle w:val="Compact"/>
        <w:numPr>
          <w:ilvl w:val="0"/>
          <w:numId w:val="1007"/>
        </w:numPr>
      </w:pPr>
      <w:r>
        <w:t xml:space="preserve">a structured rule;</w:t>
      </w:r>
    </w:p>
    <w:p>
      <w:pPr>
        <w:pStyle w:val="Compact"/>
        <w:numPr>
          <w:ilvl w:val="0"/>
          <w:numId w:val="1007"/>
        </w:numPr>
      </w:pPr>
      <w:r>
        <w:t xml:space="preserve">a field record;</w:t>
      </w:r>
    </w:p>
    <w:p>
      <w:pPr>
        <w:pStyle w:val="Compact"/>
        <w:numPr>
          <w:ilvl w:val="0"/>
          <w:numId w:val="1007"/>
        </w:numPr>
      </w:pPr>
      <w:r>
        <w:t xml:space="preserve">or a documented expert escalation.</w:t>
      </w:r>
    </w:p>
    <w:bookmarkEnd w:id="33"/>
    <w:bookmarkStart w:id="34" w:name="model-independence"/>
    <w:p>
      <w:pPr>
        <w:pStyle w:val="Heading2"/>
      </w:pPr>
      <w:r>
        <w:t xml:space="preserve">5.4 Model independence</w:t>
      </w:r>
    </w:p>
    <w:p>
      <w:pPr>
        <w:pStyle w:val="FirstParagraph"/>
      </w:pPr>
      <w:r>
        <w:t xml:space="preserve">STT, multimodal reasoning, embeddings, reranking and TTS must be replaceable through stable internal interfaces.</w:t>
      </w:r>
    </w:p>
    <w:bookmarkEnd w:id="34"/>
    <w:bookmarkStart w:id="35" w:name="rural-first-interaction"/>
    <w:p>
      <w:pPr>
        <w:pStyle w:val="Heading2"/>
      </w:pPr>
      <w:r>
        <w:t xml:space="preserve">5.5 Rural-first interaction</w:t>
      </w:r>
    </w:p>
    <w:p>
      <w:pPr>
        <w:pStyle w:val="FirstParagraph"/>
      </w:pPr>
      <w:r>
        <w:t xml:space="preserve">The application must remain useful when:</w:t>
      </w:r>
    </w:p>
    <w:p>
      <w:pPr>
        <w:pStyle w:val="Compact"/>
        <w:numPr>
          <w:ilvl w:val="0"/>
          <w:numId w:val="1008"/>
        </w:numPr>
      </w:pPr>
      <w:r>
        <w:t xml:space="preserve">uplink bandwidth is poor;</w:t>
      </w:r>
    </w:p>
    <w:p>
      <w:pPr>
        <w:pStyle w:val="Compact"/>
        <w:numPr>
          <w:ilvl w:val="0"/>
          <w:numId w:val="1008"/>
        </w:numPr>
      </w:pPr>
      <w:r>
        <w:t xml:space="preserve">packet loss is high;</w:t>
      </w:r>
    </w:p>
    <w:p>
      <w:pPr>
        <w:pStyle w:val="Compact"/>
        <w:numPr>
          <w:ilvl w:val="0"/>
          <w:numId w:val="1008"/>
        </w:numPr>
      </w:pPr>
      <w:r>
        <w:t xml:space="preserve">video cannot be streamed;</w:t>
      </w:r>
    </w:p>
    <w:p>
      <w:pPr>
        <w:pStyle w:val="Compact"/>
        <w:numPr>
          <w:ilvl w:val="0"/>
          <w:numId w:val="1008"/>
        </w:numPr>
      </w:pPr>
      <w:r>
        <w:t xml:space="preserve">the farmer has a low-cost Android phone;</w:t>
      </w:r>
    </w:p>
    <w:p>
      <w:pPr>
        <w:pStyle w:val="Compact"/>
        <w:numPr>
          <w:ilvl w:val="0"/>
          <w:numId w:val="1008"/>
        </w:numPr>
      </w:pPr>
      <w:r>
        <w:t xml:space="preserve">audio contains wind, machinery or traffic noise.</w:t>
      </w:r>
    </w:p>
    <w:bookmarkEnd w:id="35"/>
    <w:bookmarkStart w:id="36" w:name="human-oversight-by-risk"/>
    <w:p>
      <w:pPr>
        <w:pStyle w:val="Heading2"/>
      </w:pPr>
      <w:r>
        <w:t xml:space="preserve">5.6 Human oversight by risk</w:t>
      </w:r>
    </w:p>
    <w:p>
      <w:pPr>
        <w:pStyle w:val="FirstParagraph"/>
      </w:pPr>
      <w:r>
        <w:t xml:space="preserve">Not every case needs an agronomist, but uncertain, contradictory or high-risk cases must be escalated.</w:t>
      </w:r>
    </w:p>
    <w:bookmarkEnd w:id="36"/>
    <w:bookmarkStart w:id="37" w:name="version-everything"/>
    <w:p>
      <w:pPr>
        <w:pStyle w:val="Heading2"/>
      </w:pPr>
      <w:r>
        <w:t xml:space="preserve">5.7 Version everything</w:t>
      </w:r>
    </w:p>
    <w:p>
      <w:pPr>
        <w:pStyle w:val="FirstParagraph"/>
      </w:pPr>
      <w:r>
        <w:t xml:space="preserve">Every model, document, prompt, rule, response schema and application release must have an immutable version identifier.</w:t>
      </w:r>
    </w:p>
    <w:p>
      <w:r>
        <w:pict>
          <v:rect style="width:0;height:1.5pt" o:hralign="center" o:hrstd="t" o:hr="t"/>
        </w:pict>
      </w:r>
    </w:p>
    <w:bookmarkEnd w:id="37"/>
    <w:bookmarkEnd w:id="38"/>
    <w:bookmarkStart w:id="39" w:name="high-level-production-architecture"/>
    <w:p>
      <w:pPr>
        <w:pStyle w:val="Heading1"/>
      </w:pPr>
      <w:r>
        <w:t xml:space="preserve">6. High-level production architecture</w:t>
      </w:r>
    </w:p>
    <w:p>
      <w:pPr>
        <w:pStyle w:val="SourceCode"/>
      </w:pPr>
      <w:r>
        <w:rPr>
          <w:rStyle w:val="VerbatimChar"/>
        </w:rPr>
        <w:t xml:space="preserve">┌───────────────────────────────────────────────────────────┐</w:t>
      </w:r>
      <w:r>
        <w:br/>
      </w:r>
      <w:r>
        <w:rPr>
          <w:rStyle w:val="VerbatimChar"/>
        </w:rPr>
        <w:t xml:space="preserve">│ Flutter Farmer Application                               │</w:t>
      </w:r>
      <w:r>
        <w:br/>
      </w:r>
      <w:r>
        <w:rPr>
          <w:rStyle w:val="VerbatimChar"/>
        </w:rPr>
        <w:t xml:space="preserve">│                                                           │</w:t>
      </w:r>
      <w:r>
        <w:br/>
      </w:r>
      <w:r>
        <w:rPr>
          <w:rStyle w:val="VerbatimChar"/>
        </w:rPr>
        <w:t xml:space="preserve">│ • Urdu voice interface        • Guided image capture      │</w:t>
      </w:r>
      <w:r>
        <w:br/>
      </w:r>
      <w:r>
        <w:rPr>
          <w:rStyle w:val="VerbatimChar"/>
        </w:rPr>
        <w:t xml:space="preserve">│ • Push-to-talk fallback       • Short video capture       │</w:t>
      </w:r>
      <w:r>
        <w:br/>
      </w:r>
      <w:r>
        <w:rPr>
          <w:rStyle w:val="VerbatimChar"/>
        </w:rPr>
        <w:t xml:space="preserve">│ • Offline case queue          • Urdu text summary         │</w:t>
      </w:r>
      <w:r>
        <w:br/>
      </w:r>
      <w:r>
        <w:rPr>
          <w:rStyle w:val="VerbatimChar"/>
        </w:rPr>
        <w:t xml:space="preserve">│ • Network-quality monitor     • Officer escalation status │</w:t>
      </w:r>
      <w:r>
        <w:br/>
      </w:r>
      <w:r>
        <w:rPr>
          <w:rStyle w:val="VerbatimChar"/>
        </w:rPr>
        <w:t xml:space="preserve">└───────────────────────────────┬───────────────────────────┘</w:t>
      </w:r>
      <w:r>
        <w:br/>
      </w:r>
      <w:r>
        <w:rPr>
          <w:rStyle w:val="VerbatimChar"/>
        </w:rPr>
        <w:t xml:space="preserve">                                │</w:t>
      </w:r>
      <w:r>
        <w:br/>
      </w:r>
      <w:r>
        <w:rPr>
          <w:rStyle w:val="VerbatimChar"/>
        </w:rPr>
        <w:t xml:space="preserve">                         WebRTC / HTTPS</w:t>
      </w:r>
      <w:r>
        <w:br/>
      </w:r>
      <w:r>
        <w:rPr>
          <w:rStyle w:val="VerbatimChar"/>
        </w:rPr>
        <w:t xml:space="preserve">                                │</w:t>
      </w:r>
      <w:r>
        <w:br/>
      </w:r>
      <w:r>
        <w:rPr>
          <w:rStyle w:val="VerbatimChar"/>
        </w:rPr>
        <w:t xml:space="preserve">┌───────────────────────────────▼───────────────────────────┐</w:t>
      </w:r>
      <w:r>
        <w:br/>
      </w:r>
      <w:r>
        <w:rPr>
          <w:rStyle w:val="VerbatimChar"/>
        </w:rPr>
        <w:t xml:space="preserve">│ LiveKit Media Plane                                      │</w:t>
      </w:r>
      <w:r>
        <w:br/>
      </w:r>
      <w:r>
        <w:rPr>
          <w:rStyle w:val="VerbatimChar"/>
        </w:rPr>
        <w:t xml:space="preserve">│                                                           │</w:t>
      </w:r>
      <w:r>
        <w:br/>
      </w:r>
      <w:r>
        <w:rPr>
          <w:rStyle w:val="VerbatimChar"/>
        </w:rPr>
        <w:t xml:space="preserve">│ • Audio transport             • Session rooms            │</w:t>
      </w:r>
      <w:r>
        <w:br/>
      </w:r>
      <w:r>
        <w:rPr>
          <w:rStyle w:val="VerbatimChar"/>
        </w:rPr>
        <w:t xml:space="preserve">│ • VAD and turn handling       • Barge-in                  │</w:t>
      </w:r>
      <w:r>
        <w:br/>
      </w:r>
      <w:r>
        <w:rPr>
          <w:rStyle w:val="VerbatimChar"/>
        </w:rPr>
        <w:t xml:space="preserve">│ • Adaptive bitrate            • TURN/TLS                  │</w:t>
      </w:r>
      <w:r>
        <w:br/>
      </w:r>
      <w:r>
        <w:rPr>
          <w:rStyle w:val="VerbatimChar"/>
        </w:rPr>
        <w:t xml:space="preserve">│ • Connection telemetry        • Media authorization       │</w:t>
      </w:r>
      <w:r>
        <w:br/>
      </w:r>
      <w:r>
        <w:rPr>
          <w:rStyle w:val="VerbatimChar"/>
        </w:rPr>
        <w:t xml:space="preserve">└───────────────────────────────┬───────────────────────────┘</w:t>
      </w:r>
      <w:r>
        <w:br/>
      </w:r>
      <w:r>
        <w:rPr>
          <w:rStyle w:val="VerbatimChar"/>
        </w:rPr>
        <w:t xml:space="preserve">                                │</w:t>
      </w:r>
      <w:r>
        <w:br/>
      </w:r>
      <w:r>
        <w:rPr>
          <w:rStyle w:val="VerbatimChar"/>
        </w:rPr>
        <w:t xml:space="preserve">┌───────────────────────────────▼───────────────────────────┐</w:t>
      </w:r>
      <w:r>
        <w:br/>
      </w:r>
      <w:r>
        <w:rPr>
          <w:rStyle w:val="VerbatimChar"/>
        </w:rPr>
        <w:t xml:space="preserve">│ Realtime Agent Worker Pool                               │</w:t>
      </w:r>
      <w:r>
        <w:br/>
      </w:r>
      <w:r>
        <w:rPr>
          <w:rStyle w:val="VerbatimChar"/>
        </w:rPr>
        <w:t xml:space="preserve">│                                                           │</w:t>
      </w:r>
      <w:r>
        <w:br/>
      </w:r>
      <w:r>
        <w:rPr>
          <w:rStyle w:val="VerbatimChar"/>
        </w:rPr>
        <w:t xml:space="preserve">│ • Streaming STT              • Session state adapter      │</w:t>
      </w:r>
      <w:r>
        <w:br/>
      </w:r>
      <w:r>
        <w:rPr>
          <w:rStyle w:val="VerbatimChar"/>
        </w:rPr>
        <w:t xml:space="preserve">│ • Transcript events          • TTS streaming              │</w:t>
      </w:r>
      <w:r>
        <w:br/>
      </w:r>
      <w:r>
        <w:rPr>
          <w:rStyle w:val="VerbatimChar"/>
        </w:rPr>
        <w:t xml:space="preserve">│ • Media cancellation         • LangGraph invocation       │</w:t>
      </w:r>
      <w:r>
        <w:br/>
      </w:r>
      <w:r>
        <w:rPr>
          <w:rStyle w:val="VerbatimChar"/>
        </w:rPr>
        <w:t xml:space="preserve">│ • Short acknowledgements     • Provider routing           │</w:t>
      </w:r>
      <w:r>
        <w:br/>
      </w:r>
      <w:r>
        <w:rPr>
          <w:rStyle w:val="VerbatimChar"/>
        </w:rPr>
        <w:t xml:space="preserve">└───────────────────────────────┬───────────────────────────┘</w:t>
      </w:r>
      <w:r>
        <w:br/>
      </w:r>
      <w:r>
        <w:rPr>
          <w:rStyle w:val="VerbatimChar"/>
        </w:rPr>
        <w:t xml:space="preserve">                                │</w:t>
      </w:r>
      <w:r>
        <w:br/>
      </w:r>
      <w:r>
        <w:rPr>
          <w:rStyle w:val="VerbatimChar"/>
        </w:rPr>
        <w:t xml:space="preserve">┌───────────────────────────────▼───────────────────────────┐</w:t>
      </w:r>
      <w:r>
        <w:br/>
      </w:r>
      <w:r>
        <w:rPr>
          <w:rStyle w:val="VerbatimChar"/>
        </w:rPr>
        <w:t xml:space="preserve">│ LangGraph Decision Plane                                 │</w:t>
      </w:r>
      <w:r>
        <w:br/>
      </w:r>
      <w:r>
        <w:rPr>
          <w:rStyle w:val="VerbatimChar"/>
        </w:rPr>
        <w:t xml:space="preserve">│                                                           │</w:t>
      </w:r>
      <w:r>
        <w:br/>
      </w:r>
      <w:r>
        <w:rPr>
          <w:rStyle w:val="VerbatimChar"/>
        </w:rPr>
        <w:t xml:space="preserve">│ • Intent routing             • Case-state management      │</w:t>
      </w:r>
      <w:r>
        <w:br/>
      </w:r>
      <w:r>
        <w:rPr>
          <w:rStyle w:val="VerbatimChar"/>
        </w:rPr>
        <w:t xml:space="preserve">│ • Tool orchestration         • Confidence gates           │</w:t>
      </w:r>
      <w:r>
        <w:br/>
      </w:r>
      <w:r>
        <w:rPr>
          <w:rStyle w:val="VerbatimChar"/>
        </w:rPr>
        <w:t xml:space="preserve">│ • Retry/fallback             • Human review interrupts    │</w:t>
      </w:r>
      <w:r>
        <w:br/>
      </w:r>
      <w:r>
        <w:rPr>
          <w:rStyle w:val="VerbatimChar"/>
        </w:rPr>
        <w:t xml:space="preserve">│ • Safety workflow            • Audit event generation     │</w:t>
      </w:r>
      <w:r>
        <w:br/>
      </w:r>
      <w:r>
        <w:rPr>
          <w:rStyle w:val="VerbatimChar"/>
        </w:rPr>
        <w:t xml:space="preserve">└───────┬───────────────────────┼───────────────────────┬───┘</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Multimodal AI │     │ Knowledge/RAG    │    │ Policy Engine    │</w:t>
      </w:r>
      <w:r>
        <w:br/>
      </w:r>
      <w:r>
        <w:rPr>
          <w:rStyle w:val="VerbatimChar"/>
        </w:rPr>
        <w:t xml:space="preserve">│               │     │                  │    │                  │</w:t>
      </w:r>
      <w:r>
        <w:br/>
      </w:r>
      <w:r>
        <w:rPr>
          <w:rStyle w:val="VerbatimChar"/>
        </w:rPr>
        <w:t xml:space="preserve">│ Gemini 3.6    │     │ Qdrant           │    │ Approved product │</w:t>
      </w:r>
      <w:r>
        <w:br/>
      </w:r>
      <w:r>
        <w:rPr>
          <w:rStyle w:val="VerbatimChar"/>
        </w:rPr>
        <w:t xml:space="preserve">│ Qwen VLM      │     │ Lexical search   │    │ Dose rules       │</w:t>
      </w:r>
      <w:r>
        <w:br/>
      </w:r>
      <w:r>
        <w:rPr>
          <w:rStyle w:val="VerbatimChar"/>
        </w:rPr>
        <w:t xml:space="preserve">│ Model gateway │     │ Reranking        │    │ Restrictions     │</w:t>
      </w:r>
      <w:r>
        <w:br/>
      </w:r>
      <w:r>
        <w:rPr>
          <w:rStyle w:val="VerbatimChar"/>
        </w:rPr>
        <w:t xml:space="preserve">└───────┬───────┘     └────────┬─────────┘    └─────────┬────────┘</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w:t>
      </w:r>
      <w:r>
        <w:br/>
      </w:r>
      <w:r>
        <w:rPr>
          <w:rStyle w:val="VerbatimChar"/>
        </w:rPr>
        <w:t xml:space="preserve">│ Data and Governance Plane                                │</w:t>
      </w:r>
      <w:r>
        <w:br/>
      </w:r>
      <w:r>
        <w:rPr>
          <w:rStyle w:val="VerbatimChar"/>
        </w:rPr>
        <w:t xml:space="preserve">│                                                           │</w:t>
      </w:r>
      <w:r>
        <w:br/>
      </w:r>
      <w:r>
        <w:rPr>
          <w:rStyle w:val="VerbatimChar"/>
        </w:rPr>
        <w:t xml:space="preserve">│ PostgreSQL/PostGIS     Object storage      Audit store    │</w:t>
      </w:r>
      <w:r>
        <w:br/>
      </w:r>
      <w:r>
        <w:rPr>
          <w:rStyle w:val="VerbatimChar"/>
        </w:rPr>
        <w:t xml:space="preserve">│ Farmer/field records   Images/video        Event stream   │</w:t>
      </w:r>
      <w:r>
        <w:br/>
      </w:r>
      <w:r>
        <w:rPr>
          <w:rStyle w:val="VerbatimChar"/>
        </w:rPr>
        <w:t xml:space="preserve">│ Officer cases          Source documents    Analytics      │</w:t>
      </w:r>
      <w:r>
        <w:br/>
      </w:r>
      <w:r>
        <w:rPr>
          <w:rStyle w:val="VerbatimChar"/>
        </w:rPr>
        <w:t xml:space="preserve">└───────────────────────────────────────────────────────────┘</w:t>
      </w:r>
    </w:p>
    <w:p>
      <w:r>
        <w:pict>
          <v:rect style="width:0;height:1.5pt" o:hralign="center" o:hrstd="t" o:hr="t"/>
        </w:pict>
      </w:r>
    </w:p>
    <w:bookmarkEnd w:id="39"/>
    <w:bookmarkStart w:id="47" w:name="mobile-application-plan"/>
    <w:p>
      <w:pPr>
        <w:pStyle w:val="Heading1"/>
      </w:pPr>
      <w:r>
        <w:t xml:space="preserve">7. Mobile application plan</w:t>
      </w:r>
    </w:p>
    <w:bookmarkStart w:id="40" w:name="framework"/>
    <w:p>
      <w:pPr>
        <w:pStyle w:val="Heading2"/>
      </w:pPr>
      <w:r>
        <w:t xml:space="preserve">7.1 Framework</w:t>
      </w:r>
    </w:p>
    <w:p>
      <w:pPr>
        <w:pStyle w:val="FirstParagraph"/>
      </w:pPr>
      <w:r>
        <w:t xml:space="preserve">Use Flutter for Android-first deployment, while retaining iOS capability.</w:t>
      </w:r>
    </w:p>
    <w:bookmarkEnd w:id="40"/>
    <w:bookmarkStart w:id="46" w:name="required-farmer-features"/>
    <w:p>
      <w:pPr>
        <w:pStyle w:val="Heading2"/>
      </w:pPr>
      <w:r>
        <w:t xml:space="preserve">7.2 Required farmer features</w:t>
      </w:r>
    </w:p>
    <w:bookmarkStart w:id="41" w:name="voice-interaction"/>
    <w:p>
      <w:pPr>
        <w:pStyle w:val="Heading3"/>
      </w:pPr>
      <w:r>
        <w:t xml:space="preserve">Voice interaction</w:t>
      </w:r>
    </w:p>
    <w:p>
      <w:pPr>
        <w:pStyle w:val="Compact"/>
        <w:numPr>
          <w:ilvl w:val="0"/>
          <w:numId w:val="1009"/>
        </w:numPr>
      </w:pPr>
      <w:r>
        <w:t xml:space="preserve">prominent microphone control;</w:t>
      </w:r>
    </w:p>
    <w:p>
      <w:pPr>
        <w:pStyle w:val="Compact"/>
        <w:numPr>
          <w:ilvl w:val="0"/>
          <w:numId w:val="1009"/>
        </w:numPr>
      </w:pPr>
      <w:r>
        <w:t xml:space="preserve">automatic listening mode where reliable;</w:t>
      </w:r>
    </w:p>
    <w:p>
      <w:pPr>
        <w:pStyle w:val="Compact"/>
        <w:numPr>
          <w:ilvl w:val="0"/>
          <w:numId w:val="1009"/>
        </w:numPr>
      </w:pPr>
      <w:r>
        <w:t xml:space="preserve">push-to-talk mode for weak networks;</w:t>
      </w:r>
    </w:p>
    <w:p>
      <w:pPr>
        <w:pStyle w:val="Compact"/>
        <w:numPr>
          <w:ilvl w:val="0"/>
          <w:numId w:val="1009"/>
        </w:numPr>
      </w:pPr>
      <w:r>
        <w:t xml:space="preserve">visible listening, processing and speaking states;</w:t>
      </w:r>
    </w:p>
    <w:p>
      <w:pPr>
        <w:pStyle w:val="Compact"/>
        <w:numPr>
          <w:ilvl w:val="0"/>
          <w:numId w:val="1009"/>
        </w:numPr>
      </w:pPr>
      <w:r>
        <w:t xml:space="preserve">interruption button;</w:t>
      </w:r>
    </w:p>
    <w:p>
      <w:pPr>
        <w:pStyle w:val="Compact"/>
        <w:numPr>
          <w:ilvl w:val="0"/>
          <w:numId w:val="1009"/>
        </w:numPr>
      </w:pPr>
      <w:r>
        <w:t xml:space="preserve">transcript display;</w:t>
      </w:r>
    </w:p>
    <w:p>
      <w:pPr>
        <w:pStyle w:val="Compact"/>
        <w:numPr>
          <w:ilvl w:val="0"/>
          <w:numId w:val="1009"/>
        </w:numPr>
      </w:pPr>
      <w:r>
        <w:t xml:space="preserve">ability to correct a misrecognized crop or chemical name.</w:t>
      </w:r>
    </w:p>
    <w:bookmarkEnd w:id="41"/>
    <w:bookmarkStart w:id="42" w:name="guided-image-capture"/>
    <w:p>
      <w:pPr>
        <w:pStyle w:val="Heading3"/>
      </w:pPr>
      <w:r>
        <w:t xml:space="preserve">Guided image capture</w:t>
      </w:r>
    </w:p>
    <w:p>
      <w:pPr>
        <w:pStyle w:val="FirstParagraph"/>
      </w:pPr>
      <w:r>
        <w:t xml:space="preserve">The application should ask for:</w:t>
      </w:r>
    </w:p>
    <w:p>
      <w:pPr>
        <w:pStyle w:val="Compact"/>
        <w:numPr>
          <w:ilvl w:val="0"/>
          <w:numId w:val="1010"/>
        </w:numPr>
      </w:pPr>
      <w:r>
        <w:t xml:space="preserve">Whole plant or affected area.</w:t>
      </w:r>
    </w:p>
    <w:p>
      <w:pPr>
        <w:pStyle w:val="Compact"/>
        <w:numPr>
          <w:ilvl w:val="0"/>
          <w:numId w:val="1010"/>
        </w:numPr>
      </w:pPr>
      <w:r>
        <w:t xml:space="preserve">Front of the affected leaf, fruit or stem.</w:t>
      </w:r>
    </w:p>
    <w:p>
      <w:pPr>
        <w:pStyle w:val="Compact"/>
        <w:numPr>
          <w:ilvl w:val="0"/>
          <w:numId w:val="1010"/>
        </w:numPr>
      </w:pPr>
      <w:r>
        <w:t xml:space="preserve">Back or underside where relevant.</w:t>
      </w:r>
    </w:p>
    <w:p>
      <w:pPr>
        <w:pStyle w:val="Compact"/>
        <w:numPr>
          <w:ilvl w:val="0"/>
          <w:numId w:val="1010"/>
        </w:numPr>
      </w:pPr>
      <w:r>
        <w:t xml:space="preserve">Close-up of the symptom.</w:t>
      </w:r>
    </w:p>
    <w:p>
      <w:pPr>
        <w:pStyle w:val="Compact"/>
        <w:numPr>
          <w:ilvl w:val="0"/>
          <w:numId w:val="1010"/>
        </w:numPr>
      </w:pPr>
      <w:r>
        <w:t xml:space="preserve">Optional field-wide image.</w:t>
      </w:r>
    </w:p>
    <w:p>
      <w:pPr>
        <w:pStyle w:val="FirstParagraph"/>
      </w:pPr>
      <w:r>
        <w:t xml:space="preserve">On-device checks should detect:</w:t>
      </w:r>
    </w:p>
    <w:p>
      <w:pPr>
        <w:pStyle w:val="Compact"/>
        <w:numPr>
          <w:ilvl w:val="0"/>
          <w:numId w:val="1011"/>
        </w:numPr>
      </w:pPr>
      <w:r>
        <w:t xml:space="preserve">blur;</w:t>
      </w:r>
    </w:p>
    <w:p>
      <w:pPr>
        <w:pStyle w:val="Compact"/>
        <w:numPr>
          <w:ilvl w:val="0"/>
          <w:numId w:val="1011"/>
        </w:numPr>
      </w:pPr>
      <w:r>
        <w:t xml:space="preserve">severe underexposure;</w:t>
      </w:r>
    </w:p>
    <w:p>
      <w:pPr>
        <w:pStyle w:val="Compact"/>
        <w:numPr>
          <w:ilvl w:val="0"/>
          <w:numId w:val="1011"/>
        </w:numPr>
      </w:pPr>
      <w:r>
        <w:t xml:space="preserve">severe overexposure;</w:t>
      </w:r>
    </w:p>
    <w:p>
      <w:pPr>
        <w:pStyle w:val="Compact"/>
        <w:numPr>
          <w:ilvl w:val="0"/>
          <w:numId w:val="1011"/>
        </w:numPr>
      </w:pPr>
      <w:r>
        <w:t xml:space="preserve">insufficient subject size;</w:t>
      </w:r>
    </w:p>
    <w:p>
      <w:pPr>
        <w:pStyle w:val="Compact"/>
        <w:numPr>
          <w:ilvl w:val="0"/>
          <w:numId w:val="1011"/>
        </w:numPr>
      </w:pPr>
      <w:r>
        <w:t xml:space="preserve">duplicate photographs;</w:t>
      </w:r>
    </w:p>
    <w:p>
      <w:pPr>
        <w:pStyle w:val="Compact"/>
        <w:numPr>
          <w:ilvl w:val="0"/>
          <w:numId w:val="1011"/>
        </w:numPr>
      </w:pPr>
      <w:r>
        <w:t xml:space="preserve">poor focus;</w:t>
      </w:r>
    </w:p>
    <w:p>
      <w:pPr>
        <w:pStyle w:val="Compact"/>
        <w:numPr>
          <w:ilvl w:val="0"/>
          <w:numId w:val="1011"/>
        </w:numPr>
      </w:pPr>
      <w:r>
        <w:t xml:space="preserve">unsupported file type.</w:t>
      </w:r>
    </w:p>
    <w:bookmarkEnd w:id="42"/>
    <w:bookmarkStart w:id="43" w:name="short-video-capture"/>
    <w:p>
      <w:pPr>
        <w:pStyle w:val="Heading3"/>
      </w:pPr>
      <w:r>
        <w:t xml:space="preserve">Short video capture</w:t>
      </w:r>
    </w:p>
    <w:p>
      <w:pPr>
        <w:pStyle w:val="FirstParagraph"/>
      </w:pPr>
      <w:r>
        <w:t xml:space="preserve">Use video only where motion or spatial context matters.</w:t>
      </w:r>
    </w:p>
    <w:p>
      <w:pPr>
        <w:pStyle w:val="BodyText"/>
      </w:pPr>
      <w:r>
        <w:t xml:space="preserve">Recommended maximum pilot clip:</w:t>
      </w:r>
    </w:p>
    <w:p>
      <w:pPr>
        <w:pStyle w:val="Compact"/>
        <w:numPr>
          <w:ilvl w:val="0"/>
          <w:numId w:val="1012"/>
        </w:numPr>
      </w:pPr>
      <w:r>
        <w:t xml:space="preserve">5–15 seconds;</w:t>
      </w:r>
    </w:p>
    <w:p>
      <w:pPr>
        <w:pStyle w:val="Compact"/>
        <w:numPr>
          <w:ilvl w:val="0"/>
          <w:numId w:val="1012"/>
        </w:numPr>
      </w:pPr>
      <w:r>
        <w:t xml:space="preserve">capped resolution;</w:t>
      </w:r>
    </w:p>
    <w:p>
      <w:pPr>
        <w:pStyle w:val="Compact"/>
        <w:numPr>
          <w:ilvl w:val="0"/>
          <w:numId w:val="1012"/>
        </w:numPr>
      </w:pPr>
      <w:r>
        <w:t xml:space="preserve">automatic compression;</w:t>
      </w:r>
    </w:p>
    <w:p>
      <w:pPr>
        <w:pStyle w:val="Compact"/>
        <w:numPr>
          <w:ilvl w:val="0"/>
          <w:numId w:val="1012"/>
        </w:numPr>
      </w:pPr>
      <w:r>
        <w:t xml:space="preserve">keyframe extraction;</w:t>
      </w:r>
    </w:p>
    <w:p>
      <w:pPr>
        <w:pStyle w:val="Compact"/>
        <w:numPr>
          <w:ilvl w:val="0"/>
          <w:numId w:val="1012"/>
        </w:numPr>
      </w:pPr>
      <w:r>
        <w:t xml:space="preserve">no default continuous upload.</w:t>
      </w:r>
    </w:p>
    <w:bookmarkEnd w:id="43"/>
    <w:bookmarkStart w:id="44" w:name="weak-network-operation"/>
    <w:p>
      <w:pPr>
        <w:pStyle w:val="Heading3"/>
      </w:pPr>
      <w:r>
        <w:t xml:space="preserve">Weak-network operation</w:t>
      </w:r>
    </w:p>
    <w:p>
      <w:pPr>
        <w:pStyle w:val="FirstParagraph"/>
      </w:pPr>
      <w:r>
        <w:t xml:space="preserve">The app must provide:</w:t>
      </w:r>
    </w:p>
    <w:p>
      <w:pPr>
        <w:pStyle w:val="Compact"/>
        <w:numPr>
          <w:ilvl w:val="0"/>
          <w:numId w:val="1013"/>
        </w:numPr>
      </w:pPr>
      <w:r>
        <w:t xml:space="preserve">compressed image upload;</w:t>
      </w:r>
    </w:p>
    <w:p>
      <w:pPr>
        <w:pStyle w:val="Compact"/>
        <w:numPr>
          <w:ilvl w:val="0"/>
          <w:numId w:val="1013"/>
        </w:numPr>
      </w:pPr>
      <w:r>
        <w:t xml:space="preserve">upload retry and resume;</w:t>
      </w:r>
    </w:p>
    <w:p>
      <w:pPr>
        <w:pStyle w:val="Compact"/>
        <w:numPr>
          <w:ilvl w:val="0"/>
          <w:numId w:val="1013"/>
        </w:numPr>
      </w:pPr>
      <w:r>
        <w:t xml:space="preserve">local case queue;</w:t>
      </w:r>
    </w:p>
    <w:p>
      <w:pPr>
        <w:pStyle w:val="Compact"/>
        <w:numPr>
          <w:ilvl w:val="0"/>
          <w:numId w:val="1013"/>
        </w:numPr>
      </w:pPr>
      <w:r>
        <w:t xml:space="preserve">background synchronization;</w:t>
      </w:r>
    </w:p>
    <w:p>
      <w:pPr>
        <w:pStyle w:val="Compact"/>
        <w:numPr>
          <w:ilvl w:val="0"/>
          <w:numId w:val="1013"/>
        </w:numPr>
      </w:pPr>
      <w:r>
        <w:t xml:space="preserve">text-only fallback;</w:t>
      </w:r>
    </w:p>
    <w:p>
      <w:pPr>
        <w:pStyle w:val="Compact"/>
        <w:numPr>
          <w:ilvl w:val="0"/>
          <w:numId w:val="1013"/>
        </w:numPr>
      </w:pPr>
      <w:r>
        <w:t xml:space="preserve">recorded-voice fallback;</w:t>
      </w:r>
    </w:p>
    <w:p>
      <w:pPr>
        <w:pStyle w:val="Compact"/>
        <w:numPr>
          <w:ilvl w:val="0"/>
          <w:numId w:val="1013"/>
        </w:numPr>
      </w:pPr>
      <w:r>
        <w:t xml:space="preserve">a user-visible</w:t>
      </w:r>
      <w:r>
        <w:t xml:space="preserve"> </w:t>
      </w:r>
      <w:r>
        <w:t xml:space="preserve">“send when connected”</w:t>
      </w:r>
      <w:r>
        <w:t xml:space="preserve"> </w:t>
      </w:r>
      <w:r>
        <w:t xml:space="preserve">state;</w:t>
      </w:r>
    </w:p>
    <w:p>
      <w:pPr>
        <w:pStyle w:val="Compact"/>
        <w:numPr>
          <w:ilvl w:val="0"/>
          <w:numId w:val="1013"/>
        </w:numPr>
      </w:pPr>
      <w:r>
        <w:t xml:space="preserve">reduced-media mode.</w:t>
      </w:r>
    </w:p>
    <w:bookmarkEnd w:id="44"/>
    <w:bookmarkStart w:id="45" w:name="farmer-facing-response"/>
    <w:p>
      <w:pPr>
        <w:pStyle w:val="Heading3"/>
      </w:pPr>
      <w:r>
        <w:t xml:space="preserve">Farmer-facing response</w:t>
      </w:r>
    </w:p>
    <w:p>
      <w:pPr>
        <w:pStyle w:val="FirstParagraph"/>
      </w:pPr>
      <w:r>
        <w:t xml:space="preserve">The result screen should show:</w:t>
      </w:r>
    </w:p>
    <w:p>
      <w:pPr>
        <w:pStyle w:val="Compact"/>
        <w:numPr>
          <w:ilvl w:val="0"/>
          <w:numId w:val="1014"/>
        </w:numPr>
      </w:pPr>
      <w:r>
        <w:t xml:space="preserve">likely condition;</w:t>
      </w:r>
    </w:p>
    <w:p>
      <w:pPr>
        <w:pStyle w:val="Compact"/>
        <w:numPr>
          <w:ilvl w:val="0"/>
          <w:numId w:val="1014"/>
        </w:numPr>
      </w:pPr>
      <w:r>
        <w:t xml:space="preserve">uncertainty level;</w:t>
      </w:r>
    </w:p>
    <w:p>
      <w:pPr>
        <w:pStyle w:val="Compact"/>
        <w:numPr>
          <w:ilvl w:val="0"/>
          <w:numId w:val="1014"/>
        </w:numPr>
      </w:pPr>
      <w:r>
        <w:t xml:space="preserve">immediate safe action;</w:t>
      </w:r>
    </w:p>
    <w:p>
      <w:pPr>
        <w:pStyle w:val="Compact"/>
        <w:numPr>
          <w:ilvl w:val="0"/>
          <w:numId w:val="1014"/>
        </w:numPr>
      </w:pPr>
      <w:r>
        <w:t xml:space="preserve">treatment information, where authorized;</w:t>
      </w:r>
    </w:p>
    <w:p>
      <w:pPr>
        <w:pStyle w:val="Compact"/>
        <w:numPr>
          <w:ilvl w:val="0"/>
          <w:numId w:val="1014"/>
        </w:numPr>
      </w:pPr>
      <w:r>
        <w:t xml:space="preserve">source title;</w:t>
      </w:r>
    </w:p>
    <w:p>
      <w:pPr>
        <w:pStyle w:val="Compact"/>
        <w:numPr>
          <w:ilvl w:val="0"/>
          <w:numId w:val="1014"/>
        </w:numPr>
      </w:pPr>
      <w:r>
        <w:t xml:space="preserve">officer referral status;</w:t>
      </w:r>
    </w:p>
    <w:p>
      <w:pPr>
        <w:pStyle w:val="Compact"/>
        <w:numPr>
          <w:ilvl w:val="0"/>
          <w:numId w:val="1014"/>
        </w:numPr>
      </w:pPr>
      <w:r>
        <w:t xml:space="preserve">option to hear the answer again.</w:t>
      </w:r>
    </w:p>
    <w:p>
      <w:r>
        <w:pict>
          <v:rect style="width:0;height:1.5pt" o:hralign="center" o:hrstd="t" o:hr="t"/>
        </w:pict>
      </w:r>
    </w:p>
    <w:bookmarkEnd w:id="45"/>
    <w:bookmarkEnd w:id="46"/>
    <w:bookmarkEnd w:id="47"/>
    <w:bookmarkStart w:id="56" w:name="realtime-voice-architecture"/>
    <w:p>
      <w:pPr>
        <w:pStyle w:val="Heading1"/>
      </w:pPr>
      <w:r>
        <w:t xml:space="preserve">8. Realtime voice architecture</w:t>
      </w:r>
    </w:p>
    <w:bookmarkStart w:id="48" w:name="recommended-pattern"/>
    <w:p>
      <w:pPr>
        <w:pStyle w:val="Heading2"/>
      </w:pPr>
      <w:r>
        <w:t xml:space="preserve">8.1 Recommended pattern</w:t>
      </w:r>
    </w:p>
    <w:p>
      <w:pPr>
        <w:pStyle w:val="FirstParagraph"/>
      </w:pPr>
      <w:r>
        <w:t xml:space="preserve">Use a conventional streaming pipeline:</w:t>
      </w:r>
    </w:p>
    <w:p>
      <w:pPr>
        <w:pStyle w:val="SourceCode"/>
      </w:pPr>
      <w:r>
        <w:rPr>
          <w:rStyle w:val="VerbatimChar"/>
        </w:rPr>
        <w:t xml:space="preserve">Farmer audio</w:t>
      </w:r>
      <w:r>
        <w:br/>
      </w:r>
      <w:r>
        <w:rPr>
          <w:rStyle w:val="VerbatimChar"/>
        </w:rPr>
        <w:t xml:space="preserve">    ↓</w:t>
      </w:r>
      <w:r>
        <w:br/>
      </w:r>
      <w:r>
        <w:rPr>
          <w:rStyle w:val="VerbatimChar"/>
        </w:rPr>
        <w:t xml:space="preserve">VAD / endpointing</w:t>
      </w:r>
      <w:r>
        <w:br/>
      </w:r>
      <w:r>
        <w:rPr>
          <w:rStyle w:val="VerbatimChar"/>
        </w:rPr>
        <w:t xml:space="preserve">    ↓</w:t>
      </w:r>
      <w:r>
        <w:br/>
      </w:r>
      <w:r>
        <w:rPr>
          <w:rStyle w:val="VerbatimChar"/>
        </w:rPr>
        <w:t xml:space="preserve">Streaming Urdu STT</w:t>
      </w:r>
      <w:r>
        <w:br/>
      </w:r>
      <w:r>
        <w:rPr>
          <w:rStyle w:val="VerbatimChar"/>
        </w:rPr>
        <w:t xml:space="preserve">    ↓</w:t>
      </w:r>
      <w:r>
        <w:br/>
      </w:r>
      <w:r>
        <w:rPr>
          <w:rStyle w:val="VerbatimChar"/>
        </w:rPr>
        <w:t xml:space="preserve">Final and interim transcript</w:t>
      </w:r>
      <w:r>
        <w:br/>
      </w:r>
      <w:r>
        <w:rPr>
          <w:rStyle w:val="VerbatimChar"/>
        </w:rPr>
        <w:t xml:space="preserve">    ↓</w:t>
      </w:r>
      <w:r>
        <w:br/>
      </w:r>
      <w:r>
        <w:rPr>
          <w:rStyle w:val="VerbatimChar"/>
        </w:rPr>
        <w:t xml:space="preserve">Decision workflow</w:t>
      </w:r>
      <w:r>
        <w:br/>
      </w:r>
      <w:r>
        <w:rPr>
          <w:rStyle w:val="VerbatimChar"/>
        </w:rPr>
        <w:t xml:space="preserve">    ↓</w:t>
      </w:r>
      <w:r>
        <w:br/>
      </w:r>
      <w:r>
        <w:rPr>
          <w:rStyle w:val="VerbatimChar"/>
        </w:rPr>
        <w:t xml:space="preserve">Approved Urdu text</w:t>
      </w:r>
      <w:r>
        <w:br/>
      </w:r>
      <w:r>
        <w:rPr>
          <w:rStyle w:val="VerbatimChar"/>
        </w:rPr>
        <w:t xml:space="preserve">    ↓</w:t>
      </w:r>
      <w:r>
        <w:br/>
      </w:r>
      <w:r>
        <w:rPr>
          <w:rStyle w:val="VerbatimChar"/>
        </w:rPr>
        <w:t xml:space="preserve">Streaming Urdu TTS</w:t>
      </w:r>
    </w:p>
    <w:bookmarkEnd w:id="48"/>
    <w:bookmarkStart w:id="49" w:name="livekit-responsibilities"/>
    <w:p>
      <w:pPr>
        <w:pStyle w:val="Heading2"/>
      </w:pPr>
      <w:r>
        <w:t xml:space="preserve">8.2 LiveKit responsibilities</w:t>
      </w:r>
    </w:p>
    <w:p>
      <w:pPr>
        <w:pStyle w:val="FirstParagraph"/>
      </w:pPr>
      <w:r>
        <w:t xml:space="preserve">LiveKit should be responsible for:</w:t>
      </w:r>
    </w:p>
    <w:p>
      <w:pPr>
        <w:pStyle w:val="Compact"/>
        <w:numPr>
          <w:ilvl w:val="0"/>
          <w:numId w:val="1015"/>
        </w:numPr>
      </w:pPr>
      <w:r>
        <w:t xml:space="preserve">WebRTC session transport;</w:t>
      </w:r>
    </w:p>
    <w:p>
      <w:pPr>
        <w:pStyle w:val="Compact"/>
        <w:numPr>
          <w:ilvl w:val="0"/>
          <w:numId w:val="1015"/>
        </w:numPr>
      </w:pPr>
      <w:r>
        <w:t xml:space="preserve">audio routing;</w:t>
      </w:r>
    </w:p>
    <w:p>
      <w:pPr>
        <w:pStyle w:val="Compact"/>
        <w:numPr>
          <w:ilvl w:val="0"/>
          <w:numId w:val="1015"/>
        </w:numPr>
      </w:pPr>
      <w:r>
        <w:t xml:space="preserve">connection quality reporting;</w:t>
      </w:r>
    </w:p>
    <w:p>
      <w:pPr>
        <w:pStyle w:val="Compact"/>
        <w:numPr>
          <w:ilvl w:val="0"/>
          <w:numId w:val="1015"/>
        </w:numPr>
      </w:pPr>
      <w:r>
        <w:t xml:space="preserve">VAD integration;</w:t>
      </w:r>
    </w:p>
    <w:p>
      <w:pPr>
        <w:pStyle w:val="Compact"/>
        <w:numPr>
          <w:ilvl w:val="0"/>
          <w:numId w:val="1015"/>
        </w:numPr>
      </w:pPr>
      <w:r>
        <w:t xml:space="preserve">end-of-turn handling;</w:t>
      </w:r>
    </w:p>
    <w:p>
      <w:pPr>
        <w:pStyle w:val="Compact"/>
        <w:numPr>
          <w:ilvl w:val="0"/>
          <w:numId w:val="1015"/>
        </w:numPr>
      </w:pPr>
      <w:r>
        <w:t xml:space="preserve">interruption and barge-in;</w:t>
      </w:r>
    </w:p>
    <w:p>
      <w:pPr>
        <w:pStyle w:val="Compact"/>
        <w:numPr>
          <w:ilvl w:val="0"/>
          <w:numId w:val="1015"/>
        </w:numPr>
      </w:pPr>
      <w:r>
        <w:t xml:space="preserve">media authorization;</w:t>
      </w:r>
    </w:p>
    <w:p>
      <w:pPr>
        <w:pStyle w:val="Compact"/>
        <w:numPr>
          <w:ilvl w:val="0"/>
          <w:numId w:val="1015"/>
        </w:numPr>
      </w:pPr>
      <w:r>
        <w:t xml:space="preserve">TURN/TLS connectivity.</w:t>
      </w:r>
    </w:p>
    <w:p>
      <w:pPr>
        <w:pStyle w:val="FirstParagraph"/>
      </w:pPr>
      <w:r>
        <w:t xml:space="preserve">LiveKit supports VAD, STT endpointing, manual push-to-talk and realtime-model turn-detection modes. Its current documentation specifically recommends VAD-only or manual turn handling where the preferred turn detector does not cover the target language.</w:t>
      </w:r>
    </w:p>
    <w:p>
      <w:pPr>
        <w:pStyle w:val="BodyText"/>
      </w:pPr>
      <w:r>
        <w:t xml:space="preserve">For Urdu, the pilot should compare:</w:t>
      </w:r>
    </w:p>
    <w:p>
      <w:pPr>
        <w:pStyle w:val="Compact"/>
        <w:numPr>
          <w:ilvl w:val="0"/>
          <w:numId w:val="1016"/>
        </w:numPr>
      </w:pPr>
      <w:r>
        <w:t xml:space="preserve">VAD plus tuned silence thresholds;</w:t>
      </w:r>
    </w:p>
    <w:p>
      <w:pPr>
        <w:pStyle w:val="Compact"/>
        <w:numPr>
          <w:ilvl w:val="0"/>
          <w:numId w:val="1016"/>
        </w:numPr>
      </w:pPr>
      <w:r>
        <w:t xml:space="preserve">STT endpointing;</w:t>
      </w:r>
    </w:p>
    <w:p>
      <w:pPr>
        <w:pStyle w:val="Compact"/>
        <w:numPr>
          <w:ilvl w:val="0"/>
          <w:numId w:val="1016"/>
        </w:numPr>
      </w:pPr>
      <w:r>
        <w:t xml:space="preserve">push-to-talk;</w:t>
      </w:r>
    </w:p>
    <w:p>
      <w:pPr>
        <w:pStyle w:val="Compact"/>
        <w:numPr>
          <w:ilvl w:val="0"/>
          <w:numId w:val="1016"/>
        </w:numPr>
      </w:pPr>
      <w:r>
        <w:t xml:space="preserve">LiveKit’s local audio turn detector;</w:t>
      </w:r>
    </w:p>
    <w:p>
      <w:pPr>
        <w:pStyle w:val="Compact"/>
        <w:numPr>
          <w:ilvl w:val="0"/>
          <w:numId w:val="1016"/>
        </w:numPr>
      </w:pPr>
      <w:r>
        <w:t xml:space="preserve">any managed turn detector only after Urdu field evaluation.</w:t>
      </w:r>
    </w:p>
    <w:bookmarkEnd w:id="49"/>
    <w:bookmarkStart w:id="52" w:name="speech-to-text-selection"/>
    <w:p>
      <w:pPr>
        <w:pStyle w:val="Heading2"/>
      </w:pPr>
      <w:r>
        <w:t xml:space="preserve">8.3 Speech-to-text selection</w:t>
      </w:r>
    </w:p>
    <w:p>
      <w:pPr>
        <w:pStyle w:val="FirstParagraph"/>
      </w:pPr>
      <w:r>
        <w:t xml:space="preserve">Initial candidates:</w:t>
      </w:r>
    </w:p>
    <w:p>
      <w:pPr>
        <w:pStyle w:val="Compact"/>
        <w:numPr>
          <w:ilvl w:val="0"/>
          <w:numId w:val="1017"/>
        </w:numPr>
      </w:pPr>
      <w:r>
        <w:t xml:space="preserve">Deepgram Nova-3 Urdu.</w:t>
      </w:r>
    </w:p>
    <w:p>
      <w:pPr>
        <w:pStyle w:val="Compact"/>
        <w:numPr>
          <w:ilvl w:val="0"/>
          <w:numId w:val="1017"/>
        </w:numPr>
      </w:pPr>
      <w:r>
        <w:t xml:space="preserve">Azure Speech Pakistani Urdu.</w:t>
      </w:r>
    </w:p>
    <w:p>
      <w:pPr>
        <w:pStyle w:val="Compact"/>
        <w:numPr>
          <w:ilvl w:val="0"/>
          <w:numId w:val="1017"/>
        </w:numPr>
      </w:pPr>
      <w:r>
        <w:t xml:space="preserve">A self-hosted Urdu-capable candidate selected through benchmark testing.</w:t>
      </w:r>
    </w:p>
    <w:p>
      <w:pPr>
        <w:pStyle w:val="FirstParagraph"/>
      </w:pPr>
      <w:r>
        <w:t xml:space="preserve">Deepgram’s official documentation lists Urdu support for Nova-3 and provides keyterm prompting for domain terminology.</w:t>
      </w:r>
    </w:p>
    <w:p>
      <w:pPr>
        <w:pStyle w:val="BodyText"/>
      </w:pPr>
      <w:r>
        <w:t xml:space="preserve">Azure supports Pakistani Urdu speech and Pakistani Urdu neural voices. Azure also provides phrase-list and pronunciation-control mechanisms, subject to locale support.</w:t>
      </w:r>
    </w:p>
    <w:bookmarkStart w:id="50" w:name="stt-benchmark-criteria"/>
    <w:p>
      <w:pPr>
        <w:pStyle w:val="Heading3"/>
      </w:pPr>
      <w:r>
        <w:t xml:space="preserve">STT benchmark criteria</w:t>
      </w:r>
    </w:p>
    <w:p>
      <w:pPr>
        <w:pStyle w:val="FirstParagraph"/>
      </w:pPr>
      <w:r>
        <w:t xml:space="preserve">Do not select the provider using a general marketing benchmark. Test:</w:t>
      </w:r>
    </w:p>
    <w:p>
      <w:pPr>
        <w:pStyle w:val="Compact"/>
        <w:numPr>
          <w:ilvl w:val="0"/>
          <w:numId w:val="1018"/>
        </w:numPr>
      </w:pPr>
      <w:r>
        <w:t xml:space="preserve">word error rate;</w:t>
      </w:r>
    </w:p>
    <w:p>
      <w:pPr>
        <w:pStyle w:val="Compact"/>
        <w:numPr>
          <w:ilvl w:val="0"/>
          <w:numId w:val="1018"/>
        </w:numPr>
      </w:pPr>
      <w:r>
        <w:t xml:space="preserve">entity error rate;</w:t>
      </w:r>
    </w:p>
    <w:p>
      <w:pPr>
        <w:pStyle w:val="Compact"/>
        <w:numPr>
          <w:ilvl w:val="0"/>
          <w:numId w:val="1018"/>
        </w:numPr>
      </w:pPr>
      <w:r>
        <w:t xml:space="preserve">chemical-name accuracy;</w:t>
      </w:r>
    </w:p>
    <w:p>
      <w:pPr>
        <w:pStyle w:val="Compact"/>
        <w:numPr>
          <w:ilvl w:val="0"/>
          <w:numId w:val="1018"/>
        </w:numPr>
      </w:pPr>
      <w:r>
        <w:t xml:space="preserve">crop-variety accuracy;</w:t>
      </w:r>
    </w:p>
    <w:p>
      <w:pPr>
        <w:pStyle w:val="Compact"/>
        <w:numPr>
          <w:ilvl w:val="0"/>
          <w:numId w:val="1018"/>
        </w:numPr>
      </w:pPr>
      <w:r>
        <w:t xml:space="preserve">number and unit accuracy;</w:t>
      </w:r>
    </w:p>
    <w:p>
      <w:pPr>
        <w:pStyle w:val="Compact"/>
        <w:numPr>
          <w:ilvl w:val="0"/>
          <w:numId w:val="1018"/>
        </w:numPr>
      </w:pPr>
      <w:r>
        <w:t xml:space="preserve">code-switch accuracy;</w:t>
      </w:r>
    </w:p>
    <w:p>
      <w:pPr>
        <w:pStyle w:val="Compact"/>
        <w:numPr>
          <w:ilvl w:val="0"/>
          <w:numId w:val="1018"/>
        </w:numPr>
      </w:pPr>
      <w:r>
        <w:t xml:space="preserve">latency to interim transcript;</w:t>
      </w:r>
    </w:p>
    <w:p>
      <w:pPr>
        <w:pStyle w:val="Compact"/>
        <w:numPr>
          <w:ilvl w:val="0"/>
          <w:numId w:val="1018"/>
        </w:numPr>
      </w:pPr>
      <w:r>
        <w:t xml:space="preserve">latency to final transcript;</w:t>
      </w:r>
    </w:p>
    <w:p>
      <w:pPr>
        <w:pStyle w:val="Compact"/>
        <w:numPr>
          <w:ilvl w:val="0"/>
          <w:numId w:val="1018"/>
        </w:numPr>
      </w:pPr>
      <w:r>
        <w:t xml:space="preserve">failure rate in background noise;</w:t>
      </w:r>
    </w:p>
    <w:p>
      <w:pPr>
        <w:pStyle w:val="Compact"/>
        <w:numPr>
          <w:ilvl w:val="0"/>
          <w:numId w:val="1018"/>
        </w:numPr>
      </w:pPr>
      <w:r>
        <w:t xml:space="preserve">performance by accent and gender;</w:t>
      </w:r>
    </w:p>
    <w:p>
      <w:pPr>
        <w:pStyle w:val="Compact"/>
        <w:numPr>
          <w:ilvl w:val="0"/>
          <w:numId w:val="1018"/>
        </w:numPr>
      </w:pPr>
      <w:r>
        <w:t xml:space="preserve">performance on low-cost mobile microphones.</w:t>
      </w:r>
    </w:p>
    <w:bookmarkEnd w:id="50"/>
    <w:bookmarkStart w:id="51" w:name="dynamic-agricultural-vocabulary"/>
    <w:p>
      <w:pPr>
        <w:pStyle w:val="Heading3"/>
      </w:pPr>
      <w:r>
        <w:t xml:space="preserve">Dynamic agricultural vocabulary</w:t>
      </w:r>
    </w:p>
    <w:p>
      <w:pPr>
        <w:pStyle w:val="FirstParagraph"/>
      </w:pPr>
      <w:r>
        <w:t xml:space="preserve">The STT service should receive session-specific terms:</w:t>
      </w:r>
    </w:p>
    <w:p>
      <w:pPr>
        <w:pStyle w:val="Compact"/>
        <w:numPr>
          <w:ilvl w:val="0"/>
          <w:numId w:val="1019"/>
        </w:numPr>
      </w:pPr>
      <w:r>
        <w:t xml:space="preserve">selected crop;</w:t>
      </w:r>
    </w:p>
    <w:p>
      <w:pPr>
        <w:pStyle w:val="Compact"/>
        <w:numPr>
          <w:ilvl w:val="0"/>
          <w:numId w:val="1019"/>
        </w:numPr>
      </w:pPr>
      <w:r>
        <w:t xml:space="preserve">district names;</w:t>
      </w:r>
    </w:p>
    <w:p>
      <w:pPr>
        <w:pStyle w:val="Compact"/>
        <w:numPr>
          <w:ilvl w:val="0"/>
          <w:numId w:val="1019"/>
        </w:numPr>
      </w:pPr>
      <w:r>
        <w:t xml:space="preserve">nearby villages;</w:t>
      </w:r>
    </w:p>
    <w:p>
      <w:pPr>
        <w:pStyle w:val="Compact"/>
        <w:numPr>
          <w:ilvl w:val="0"/>
          <w:numId w:val="1019"/>
        </w:numPr>
      </w:pPr>
      <w:r>
        <w:t xml:space="preserve">known crop varieties;</w:t>
      </w:r>
    </w:p>
    <w:p>
      <w:pPr>
        <w:pStyle w:val="Compact"/>
        <w:numPr>
          <w:ilvl w:val="0"/>
          <w:numId w:val="1019"/>
        </w:numPr>
      </w:pPr>
      <w:r>
        <w:t xml:space="preserve">likely disease names;</w:t>
      </w:r>
    </w:p>
    <w:p>
      <w:pPr>
        <w:pStyle w:val="Compact"/>
        <w:numPr>
          <w:ilvl w:val="0"/>
          <w:numId w:val="1019"/>
        </w:numPr>
      </w:pPr>
      <w:r>
        <w:t xml:space="preserve">pesticide trade names;</w:t>
      </w:r>
    </w:p>
    <w:p>
      <w:pPr>
        <w:pStyle w:val="Compact"/>
        <w:numPr>
          <w:ilvl w:val="0"/>
          <w:numId w:val="1019"/>
        </w:numPr>
      </w:pPr>
      <w:r>
        <w:t xml:space="preserve">active ingredients;</w:t>
      </w:r>
    </w:p>
    <w:p>
      <w:pPr>
        <w:pStyle w:val="Compact"/>
        <w:numPr>
          <w:ilvl w:val="0"/>
          <w:numId w:val="1019"/>
        </w:numPr>
      </w:pPr>
      <w:r>
        <w:t xml:space="preserve">Urdu and Roman-Urdu spellings.</w:t>
      </w:r>
    </w:p>
    <w:p>
      <w:pPr>
        <w:pStyle w:val="FirstParagraph"/>
      </w:pPr>
      <w:r>
        <w:t xml:space="preserve">Never automatically trust a low-confidence chemical transcription. Ask the farmer to confirm.</w:t>
      </w:r>
    </w:p>
    <w:bookmarkEnd w:id="51"/>
    <w:bookmarkEnd w:id="52"/>
    <w:bookmarkStart w:id="53" w:name="text-normalization"/>
    <w:p>
      <w:pPr>
        <w:pStyle w:val="Heading2"/>
      </w:pPr>
      <w:r>
        <w:t xml:space="preserve">8.4 Text normalization</w:t>
      </w:r>
    </w:p>
    <w:p>
      <w:pPr>
        <w:pStyle w:val="FirstParagraph"/>
      </w:pPr>
      <w:r>
        <w:t xml:space="preserve">Create a dedicated normalization service that:</w:t>
      </w:r>
    </w:p>
    <w:p>
      <w:pPr>
        <w:pStyle w:val="Compact"/>
        <w:numPr>
          <w:ilvl w:val="0"/>
          <w:numId w:val="1020"/>
        </w:numPr>
      </w:pPr>
      <w:r>
        <w:t xml:space="preserve">retains the original transcript;</w:t>
      </w:r>
    </w:p>
    <w:p>
      <w:pPr>
        <w:pStyle w:val="Compact"/>
        <w:numPr>
          <w:ilvl w:val="0"/>
          <w:numId w:val="1020"/>
        </w:numPr>
      </w:pPr>
      <w:r>
        <w:t xml:space="preserve">generates a normalized Urdu transcript;</w:t>
      </w:r>
    </w:p>
    <w:p>
      <w:pPr>
        <w:pStyle w:val="Compact"/>
        <w:numPr>
          <w:ilvl w:val="0"/>
          <w:numId w:val="1020"/>
        </w:numPr>
      </w:pPr>
      <w:r>
        <w:t xml:space="preserve">identifies Roman Urdu;</w:t>
      </w:r>
    </w:p>
    <w:p>
      <w:pPr>
        <w:pStyle w:val="Compact"/>
        <w:numPr>
          <w:ilvl w:val="0"/>
          <w:numId w:val="1020"/>
        </w:numPr>
      </w:pPr>
      <w:r>
        <w:t xml:space="preserve">identifies English agricultural terms;</w:t>
      </w:r>
    </w:p>
    <w:p>
      <w:pPr>
        <w:pStyle w:val="Compact"/>
        <w:numPr>
          <w:ilvl w:val="0"/>
          <w:numId w:val="1020"/>
        </w:numPr>
      </w:pPr>
      <w:r>
        <w:t xml:space="preserve">maps synonyms to controlled vocabulary;</w:t>
      </w:r>
    </w:p>
    <w:p>
      <w:pPr>
        <w:pStyle w:val="Compact"/>
        <w:numPr>
          <w:ilvl w:val="0"/>
          <w:numId w:val="1020"/>
        </w:numPr>
      </w:pPr>
      <w:r>
        <w:t xml:space="preserve">resolves units;</w:t>
      </w:r>
    </w:p>
    <w:p>
      <w:pPr>
        <w:pStyle w:val="Compact"/>
        <w:numPr>
          <w:ilvl w:val="0"/>
          <w:numId w:val="1020"/>
        </w:numPr>
      </w:pPr>
      <w:r>
        <w:t xml:space="preserve">detects crop, variety, location and chemical entities;</w:t>
      </w:r>
    </w:p>
    <w:p>
      <w:pPr>
        <w:pStyle w:val="Compact"/>
        <w:numPr>
          <w:ilvl w:val="0"/>
          <w:numId w:val="1020"/>
        </w:numPr>
      </w:pPr>
      <w:r>
        <w:t xml:space="preserve">stores N-best alternatives for uncertain entities.</w:t>
      </w:r>
    </w:p>
    <w:p>
      <w:pPr>
        <w:pStyle w:val="FirstParagraph"/>
      </w:pPr>
      <w:r>
        <w:t xml:space="preserve">Example:</w:t>
      </w:r>
    </w:p>
    <w:p>
      <w:pPr>
        <w:pStyle w:val="SourceCode"/>
      </w:pPr>
      <w:r>
        <w:rPr>
          <w:rStyle w:val="FunctionTok"/>
        </w:rPr>
        <w:t xml:space="preserve">{</w:t>
      </w:r>
      <w:r>
        <w:br/>
      </w:r>
      <w:r>
        <w:rPr>
          <w:rStyle w:val="NormalTok"/>
        </w:rPr>
        <w:t xml:space="preserve">  </w:t>
      </w:r>
      <w:r>
        <w:rPr>
          <w:rStyle w:val="DataTypeTok"/>
        </w:rPr>
        <w:t xml:space="preserve">"original_transcript"</w:t>
      </w:r>
      <w:r>
        <w:rPr>
          <w:rStyle w:val="FunctionTok"/>
        </w:rPr>
        <w:t xml:space="preserve">:</w:t>
      </w:r>
      <w:r>
        <w:rPr>
          <w:rStyle w:val="NormalTok"/>
        </w:rPr>
        <w:t xml:space="preserve"> </w:t>
      </w:r>
      <w:r>
        <w:rPr>
          <w:rStyle w:val="StringTok"/>
        </w:rPr>
        <w:t xml:space="preserve">"میں نے پچھلے ہفتے ایسیٹا می پرڈ سپرے کیا تھا"</w:t>
      </w:r>
      <w:r>
        <w:rPr>
          <w:rStyle w:val="FunctionTok"/>
        </w:rPr>
        <w:t xml:space="preserve">,</w:t>
      </w:r>
      <w:r>
        <w:br/>
      </w:r>
      <w:r>
        <w:rPr>
          <w:rStyle w:val="NormalTok"/>
        </w:rPr>
        <w:t xml:space="preserve">  </w:t>
      </w:r>
      <w:r>
        <w:rPr>
          <w:rStyle w:val="DataTypeTok"/>
        </w:rPr>
        <w:t xml:space="preserve">"normalized_transcript"</w:t>
      </w:r>
      <w:r>
        <w:rPr>
          <w:rStyle w:val="FunctionTok"/>
        </w:rPr>
        <w:t xml:space="preserve">:</w:t>
      </w:r>
      <w:r>
        <w:rPr>
          <w:rStyle w:val="NormalTok"/>
        </w:rPr>
        <w:t xml:space="preserve"> </w:t>
      </w:r>
      <w:r>
        <w:rPr>
          <w:rStyle w:val="StringTok"/>
        </w:rPr>
        <w:t xml:space="preserve">"میں نے پچھلے ہفتے ایسیٹامیپرڈ کا سپرے کیا تھا۔"</w:t>
      </w:r>
      <w:r>
        <w:rPr>
          <w:rStyle w:val="FunctionTok"/>
        </w:rPr>
        <w:t xml:space="preserve">,</w:t>
      </w:r>
      <w:r>
        <w:br/>
      </w:r>
      <w:r>
        <w:rPr>
          <w:rStyle w:val="NormalTok"/>
        </w:rPr>
        <w:t xml:space="preserve">  </w:t>
      </w:r>
      <w:r>
        <w:rPr>
          <w:rStyle w:val="DataTypeTok"/>
        </w:rPr>
        <w:t xml:space="preserve">"entities"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"active_ingredient"</w:t>
      </w:r>
      <w:r>
        <w:rPr>
          <w:rStyle w:val="FunctionTok"/>
        </w:rPr>
        <w:t xml:space="preserve">,</w:t>
      </w:r>
      <w:r>
        <w:br/>
      </w:r>
      <w:r>
        <w:rPr>
          <w:rStyle w:val="NormalTok"/>
        </w:rPr>
        <w:t xml:space="preserve">      </w:t>
      </w:r>
      <w:r>
        <w:rPr>
          <w:rStyle w:val="DataTypeTok"/>
        </w:rPr>
        <w:t xml:space="preserve">"value"</w:t>
      </w:r>
      <w:r>
        <w:rPr>
          <w:rStyle w:val="FunctionTok"/>
        </w:rPr>
        <w:t xml:space="preserve">:</w:t>
      </w:r>
      <w:r>
        <w:rPr>
          <w:rStyle w:val="NormalTok"/>
        </w:rPr>
        <w:t xml:space="preserve"> </w:t>
      </w:r>
      <w:r>
        <w:rPr>
          <w:rStyle w:val="StringTok"/>
        </w:rPr>
        <w:t xml:space="preserve">"acetamiprid"</w:t>
      </w:r>
      <w:r>
        <w:rPr>
          <w:rStyle w:val="FunctionTok"/>
        </w:rPr>
        <w:t xml:space="preserve">,</w:t>
      </w:r>
      <w:r>
        <w:br/>
      </w:r>
      <w:r>
        <w:rPr>
          <w:rStyle w:val="NormalTok"/>
        </w:rPr>
        <w:t xml:space="preserve">      </w:t>
      </w:r>
      <w:r>
        <w:rPr>
          <w:rStyle w:val="DataTypeTok"/>
        </w:rPr>
        <w:t xml:space="preserve">"confidence"</w:t>
      </w:r>
      <w:r>
        <w:rPr>
          <w:rStyle w:val="FunctionTok"/>
        </w:rPr>
        <w:t xml:space="preserve">:</w:t>
      </w:r>
      <w:r>
        <w:rPr>
          <w:rStyle w:val="NormalTok"/>
        </w:rPr>
        <w:t xml:space="preserve"> </w:t>
      </w:r>
      <w:r>
        <w:rPr>
          <w:rStyle w:val="FloatTok"/>
        </w:rPr>
        <w:t xml:space="preserve">0.82</w:t>
      </w:r>
      <w:r>
        <w:rPr>
          <w:rStyle w:val="FunctionTok"/>
        </w:rPr>
        <w:t xml:space="preserve">,</w:t>
      </w:r>
      <w:r>
        <w:br/>
      </w:r>
      <w:r>
        <w:rPr>
          <w:rStyle w:val="NormalTok"/>
        </w:rPr>
        <w:t xml:space="preserve">      </w:t>
      </w:r>
      <w:r>
        <w:rPr>
          <w:rStyle w:val="DataTypeTok"/>
        </w:rPr>
        <w:t xml:space="preserve">"confirmation_required"</w:t>
      </w:r>
      <w:r>
        <w:rPr>
          <w:rStyle w:val="FunctionTok"/>
        </w:rPr>
        <w:t xml:space="preserve">:</w:t>
      </w:r>
      <w:r>
        <w:rPr>
          <w:rStyle w:val="NormalTok"/>
        </w:rPr>
        <w:t xml:space="preserve"> </w:t>
      </w:r>
      <w:r>
        <w:rPr>
          <w:rStyle w:val="KeywordTok"/>
        </w:rPr>
        <w:t xml:space="preserve">true</w:t>
      </w:r>
      <w:r>
        <w:br/>
      </w:r>
      <w:r>
        <w:rPr>
          <w:rStyle w:val="NormalTok"/>
        </w:rPr>
        <w:t xml:space="preserve">    </w:t>
      </w:r>
      <w:r>
        <w:rPr>
          <w:rStyle w:val="FunctionTok"/>
        </w:rPr>
        <w:t xml:space="preserve">}</w:t>
      </w:r>
      <w:r>
        <w:br/>
      </w:r>
      <w:r>
        <w:rPr>
          <w:rStyle w:val="NormalTok"/>
        </w:rPr>
        <w:t xml:space="preserve">  </w:t>
      </w:r>
      <w:r>
        <w:rPr>
          <w:rStyle w:val="OtherTok"/>
        </w:rPr>
        <w:t xml:space="preserve">]</w:t>
      </w:r>
      <w:r>
        <w:br/>
      </w:r>
      <w:r>
        <w:rPr>
          <w:rStyle w:val="FunctionTok"/>
        </w:rPr>
        <w:t xml:space="preserve">}</w:t>
      </w:r>
    </w:p>
    <w:bookmarkEnd w:id="53"/>
    <w:bookmarkStart w:id="54" w:name="text-to-speech-selection"/>
    <w:p>
      <w:pPr>
        <w:pStyle w:val="Heading2"/>
      </w:pPr>
      <w:r>
        <w:t xml:space="preserve">8.5 Text-to-speech selection</w:t>
      </w:r>
    </w:p>
    <w:p>
      <w:pPr>
        <w:pStyle w:val="FirstParagraph"/>
      </w:pPr>
      <w:r>
        <w:t xml:space="preserve">Initial candidates:</w:t>
      </w:r>
    </w:p>
    <w:p>
      <w:pPr>
        <w:pStyle w:val="Compact"/>
        <w:numPr>
          <w:ilvl w:val="0"/>
          <w:numId w:val="1021"/>
        </w:numPr>
      </w:pPr>
      <w:r>
        <w:t xml:space="preserve">Azure</w:t>
      </w:r>
      <w:r>
        <w:t xml:space="preserve"> </w:t>
      </w:r>
      <w:r>
        <w:rPr>
          <w:rStyle w:val="VerbatimChar"/>
        </w:rPr>
        <w:t xml:space="preserve">ur-PK</w:t>
      </w:r>
      <w:r>
        <w:t xml:space="preserve"> </w:t>
      </w:r>
      <w:r>
        <w:t xml:space="preserve">neural voices;</w:t>
      </w:r>
    </w:p>
    <w:p>
      <w:pPr>
        <w:pStyle w:val="Compact"/>
        <w:numPr>
          <w:ilvl w:val="0"/>
          <w:numId w:val="1021"/>
        </w:numPr>
      </w:pPr>
      <w:r>
        <w:t xml:space="preserve">another commercial Urdu TTS provider;</w:t>
      </w:r>
    </w:p>
    <w:p>
      <w:pPr>
        <w:pStyle w:val="Compact"/>
        <w:numPr>
          <w:ilvl w:val="0"/>
          <w:numId w:val="1021"/>
        </w:numPr>
      </w:pPr>
      <w:r>
        <w:t xml:space="preserve">an approved self-hosted Urdu model.</w:t>
      </w:r>
    </w:p>
    <w:p>
      <w:pPr>
        <w:pStyle w:val="FirstParagraph"/>
      </w:pPr>
      <w:r>
        <w:t xml:space="preserve">TTS must be evaluated for:</w:t>
      </w:r>
    </w:p>
    <w:p>
      <w:pPr>
        <w:pStyle w:val="Compact"/>
        <w:numPr>
          <w:ilvl w:val="0"/>
          <w:numId w:val="1022"/>
        </w:numPr>
      </w:pPr>
      <w:r>
        <w:t xml:space="preserve">Pakistani Urdu naturalness;</w:t>
      </w:r>
    </w:p>
    <w:p>
      <w:pPr>
        <w:pStyle w:val="Compact"/>
        <w:numPr>
          <w:ilvl w:val="0"/>
          <w:numId w:val="1022"/>
        </w:numPr>
      </w:pPr>
      <w:r>
        <w:t xml:space="preserve">clarity on low-quality speakers;</w:t>
      </w:r>
    </w:p>
    <w:p>
      <w:pPr>
        <w:pStyle w:val="Compact"/>
        <w:numPr>
          <w:ilvl w:val="0"/>
          <w:numId w:val="1022"/>
        </w:numPr>
      </w:pPr>
      <w:r>
        <w:t xml:space="preserve">pronunciation of quantities;</w:t>
      </w:r>
    </w:p>
    <w:p>
      <w:pPr>
        <w:pStyle w:val="Compact"/>
        <w:numPr>
          <w:ilvl w:val="0"/>
          <w:numId w:val="1022"/>
        </w:numPr>
      </w:pPr>
      <w:r>
        <w:t xml:space="preserve">pronunciation of active ingredients;</w:t>
      </w:r>
    </w:p>
    <w:p>
      <w:pPr>
        <w:pStyle w:val="Compact"/>
        <w:numPr>
          <w:ilvl w:val="0"/>
          <w:numId w:val="1022"/>
        </w:numPr>
      </w:pPr>
      <w:r>
        <w:t xml:space="preserve">pronunciation of English trade names;</w:t>
      </w:r>
    </w:p>
    <w:p>
      <w:pPr>
        <w:pStyle w:val="Compact"/>
        <w:numPr>
          <w:ilvl w:val="0"/>
          <w:numId w:val="1022"/>
        </w:numPr>
      </w:pPr>
      <w:r>
        <w:t xml:space="preserve">farmer comprehension;</w:t>
      </w:r>
    </w:p>
    <w:p>
      <w:pPr>
        <w:pStyle w:val="Compact"/>
        <w:numPr>
          <w:ilvl w:val="0"/>
          <w:numId w:val="1022"/>
        </w:numPr>
      </w:pPr>
      <w:r>
        <w:t xml:space="preserve">streaming first-byte latency.</w:t>
      </w:r>
    </w:p>
    <w:p>
      <w:pPr>
        <w:pStyle w:val="FirstParagraph"/>
      </w:pPr>
      <w:r>
        <w:t xml:space="preserve">Use a pronunciation dictionary and SSML or equivalent controls for:</w:t>
      </w:r>
    </w:p>
    <w:p>
      <w:pPr>
        <w:pStyle w:val="Compact"/>
        <w:numPr>
          <w:ilvl w:val="0"/>
          <w:numId w:val="1023"/>
        </w:numPr>
      </w:pPr>
      <w:r>
        <w:t xml:space="preserve">chemical names;</w:t>
      </w:r>
    </w:p>
    <w:p>
      <w:pPr>
        <w:pStyle w:val="Compact"/>
        <w:numPr>
          <w:ilvl w:val="0"/>
          <w:numId w:val="1023"/>
        </w:numPr>
      </w:pPr>
      <w:r>
        <w:t xml:space="preserve">crop varieties;</w:t>
      </w:r>
    </w:p>
    <w:p>
      <w:pPr>
        <w:pStyle w:val="Compact"/>
        <w:numPr>
          <w:ilvl w:val="0"/>
          <w:numId w:val="1023"/>
        </w:numPr>
      </w:pPr>
      <w:r>
        <w:t xml:space="preserve">measurements;</w:t>
      </w:r>
    </w:p>
    <w:p>
      <w:pPr>
        <w:pStyle w:val="Compact"/>
        <w:numPr>
          <w:ilvl w:val="0"/>
          <w:numId w:val="1023"/>
        </w:numPr>
      </w:pPr>
      <w:r>
        <w:t xml:space="preserve">abbreviations;</w:t>
      </w:r>
    </w:p>
    <w:p>
      <w:pPr>
        <w:pStyle w:val="Compact"/>
        <w:numPr>
          <w:ilvl w:val="0"/>
          <w:numId w:val="1023"/>
        </w:numPr>
      </w:pPr>
      <w:r>
        <w:t xml:space="preserve">mixed Urdu-English terms.</w:t>
      </w:r>
    </w:p>
    <w:bookmarkEnd w:id="54"/>
    <w:bookmarkStart w:id="55" w:name="spoken-answer-policy"/>
    <w:p>
      <w:pPr>
        <w:pStyle w:val="Heading2"/>
      </w:pPr>
      <w:r>
        <w:t xml:space="preserve">8.6 Spoken-answer policy</w:t>
      </w:r>
    </w:p>
    <w:p>
      <w:pPr>
        <w:pStyle w:val="FirstParagraph"/>
      </w:pPr>
      <w:r>
        <w:t xml:space="preserve">The spoken answer should normally contain:</w:t>
      </w:r>
    </w:p>
    <w:p>
      <w:pPr>
        <w:pStyle w:val="Compact"/>
        <w:numPr>
          <w:ilvl w:val="0"/>
          <w:numId w:val="1024"/>
        </w:numPr>
      </w:pPr>
      <w:r>
        <w:t xml:space="preserve">What the system observed.</w:t>
      </w:r>
    </w:p>
    <w:p>
      <w:pPr>
        <w:pStyle w:val="Compact"/>
        <w:numPr>
          <w:ilvl w:val="0"/>
          <w:numId w:val="1024"/>
        </w:numPr>
      </w:pPr>
      <w:r>
        <w:t xml:space="preserve">What the likely issue is.</w:t>
      </w:r>
    </w:p>
    <w:p>
      <w:pPr>
        <w:pStyle w:val="Compact"/>
        <w:numPr>
          <w:ilvl w:val="0"/>
          <w:numId w:val="1024"/>
        </w:numPr>
      </w:pPr>
      <w:r>
        <w:t xml:space="preserve">How certain the system is.</w:t>
      </w:r>
    </w:p>
    <w:p>
      <w:pPr>
        <w:pStyle w:val="Compact"/>
        <w:numPr>
          <w:ilvl w:val="0"/>
          <w:numId w:val="1024"/>
        </w:numPr>
      </w:pPr>
      <w:r>
        <w:t xml:space="preserve">The immediate safe action.</w:t>
      </w:r>
    </w:p>
    <w:p>
      <w:pPr>
        <w:pStyle w:val="Compact"/>
        <w:numPr>
          <w:ilvl w:val="0"/>
          <w:numId w:val="1024"/>
        </w:numPr>
      </w:pPr>
      <w:r>
        <w:t xml:space="preserve">One next question or escalation instruction.</w:t>
      </w:r>
    </w:p>
    <w:p>
      <w:pPr>
        <w:pStyle w:val="FirstParagraph"/>
      </w:pPr>
      <w:r>
        <w:t xml:space="preserve">Detailed references and longer instructions should remain on screen.</w:t>
      </w:r>
    </w:p>
    <w:p>
      <w:r>
        <w:pict>
          <v:rect style="width:0;height:1.5pt" o:hralign="center" o:hrstd="t" o:hr="t"/>
        </w:pict>
      </w:r>
    </w:p>
    <w:bookmarkEnd w:id="55"/>
    <w:bookmarkEnd w:id="56"/>
    <w:bookmarkStart w:id="63" w:name="multimodal-reasoning-architecture"/>
    <w:p>
      <w:pPr>
        <w:pStyle w:val="Heading1"/>
      </w:pPr>
      <w:r>
        <w:t xml:space="preserve">9. Multimodal reasoning architecture</w:t>
      </w:r>
    </w:p>
    <w:bookmarkStart w:id="57" w:name="cloud-primary-candidate"/>
    <w:p>
      <w:pPr>
        <w:pStyle w:val="Heading2"/>
      </w:pPr>
      <w:r>
        <w:t xml:space="preserve">9.1 Cloud primary candidate</w:t>
      </w:r>
    </w:p>
    <w:p>
      <w:pPr>
        <w:pStyle w:val="FirstParagraph"/>
      </w:pPr>
      <w:r>
        <w:t xml:space="preserve">Use Gemini 3.6 Flash as the initial cloud candidate for:</w:t>
      </w:r>
    </w:p>
    <w:p>
      <w:pPr>
        <w:pStyle w:val="Compact"/>
        <w:numPr>
          <w:ilvl w:val="0"/>
          <w:numId w:val="1025"/>
        </w:numPr>
      </w:pPr>
      <w:r>
        <w:t xml:space="preserve">image understanding;</w:t>
      </w:r>
    </w:p>
    <w:p>
      <w:pPr>
        <w:pStyle w:val="Compact"/>
        <w:numPr>
          <w:ilvl w:val="0"/>
          <w:numId w:val="1025"/>
        </w:numPr>
      </w:pPr>
      <w:r>
        <w:t xml:space="preserve">short-video or keyframe analysis;</w:t>
      </w:r>
    </w:p>
    <w:p>
      <w:pPr>
        <w:pStyle w:val="Compact"/>
        <w:numPr>
          <w:ilvl w:val="0"/>
          <w:numId w:val="1025"/>
        </w:numPr>
      </w:pPr>
      <w:r>
        <w:t xml:space="preserve">structured observations;</w:t>
      </w:r>
    </w:p>
    <w:p>
      <w:pPr>
        <w:pStyle w:val="Compact"/>
        <w:numPr>
          <w:ilvl w:val="0"/>
          <w:numId w:val="1025"/>
        </w:numPr>
      </w:pPr>
      <w:r>
        <w:t xml:space="preserve">differential diagnosis;</w:t>
      </w:r>
    </w:p>
    <w:p>
      <w:pPr>
        <w:pStyle w:val="Compact"/>
        <w:numPr>
          <w:ilvl w:val="0"/>
          <w:numId w:val="1025"/>
        </w:numPr>
      </w:pPr>
      <w:r>
        <w:t xml:space="preserve">tool calling;</w:t>
      </w:r>
    </w:p>
    <w:p>
      <w:pPr>
        <w:pStyle w:val="Compact"/>
        <w:numPr>
          <w:ilvl w:val="0"/>
          <w:numId w:val="1025"/>
        </w:numPr>
      </w:pPr>
      <w:r>
        <w:t xml:space="preserve">multimodal consistency checks;</w:t>
      </w:r>
    </w:p>
    <w:p>
      <w:pPr>
        <w:pStyle w:val="Compact"/>
        <w:numPr>
          <w:ilvl w:val="0"/>
          <w:numId w:val="1025"/>
        </w:numPr>
      </w:pPr>
      <w:r>
        <w:t xml:space="preserve">extraction of evidence from manuals and case records.</w:t>
      </w:r>
    </w:p>
    <w:p>
      <w:pPr>
        <w:pStyle w:val="FirstParagraph"/>
      </w:pPr>
      <w:r>
        <w:t xml:space="preserve">Gemini 3.6 Flash accepts text, image, video and audio input, provides structured outputs and function calling, but generates text rather than audio.</w:t>
      </w:r>
    </w:p>
    <w:bookmarkEnd w:id="57"/>
    <w:bookmarkStart w:id="58" w:name="sovereign-model-candidate"/>
    <w:p>
      <w:pPr>
        <w:pStyle w:val="Heading2"/>
      </w:pPr>
      <w:r>
        <w:t xml:space="preserve">9.2 Sovereign model candidate</w:t>
      </w:r>
    </w:p>
    <w:p>
      <w:pPr>
        <w:pStyle w:val="FirstParagraph"/>
      </w:pPr>
      <w:r>
        <w:t xml:space="preserve">Create a Qwen-compatible or OpenAI-compatible inference interface for an approved open-weight VLM.</w:t>
      </w:r>
    </w:p>
    <w:p>
      <w:pPr>
        <w:pStyle w:val="BodyText"/>
      </w:pPr>
      <w:r>
        <w:t xml:space="preserve">Required capabilities:</w:t>
      </w:r>
    </w:p>
    <w:p>
      <w:pPr>
        <w:pStyle w:val="Compact"/>
        <w:numPr>
          <w:ilvl w:val="0"/>
          <w:numId w:val="1026"/>
        </w:numPr>
      </w:pPr>
      <w:r>
        <w:t xml:space="preserve">Urdu text comprehension;</w:t>
      </w:r>
    </w:p>
    <w:p>
      <w:pPr>
        <w:pStyle w:val="Compact"/>
        <w:numPr>
          <w:ilvl w:val="0"/>
          <w:numId w:val="1026"/>
        </w:numPr>
      </w:pPr>
      <w:r>
        <w:t xml:space="preserve">crop-image understanding;</w:t>
      </w:r>
    </w:p>
    <w:p>
      <w:pPr>
        <w:pStyle w:val="Compact"/>
        <w:numPr>
          <w:ilvl w:val="0"/>
          <w:numId w:val="1026"/>
        </w:numPr>
      </w:pPr>
      <w:r>
        <w:t xml:space="preserve">multi-image input;</w:t>
      </w:r>
    </w:p>
    <w:p>
      <w:pPr>
        <w:pStyle w:val="Compact"/>
        <w:numPr>
          <w:ilvl w:val="0"/>
          <w:numId w:val="1026"/>
        </w:numPr>
      </w:pPr>
      <w:r>
        <w:t xml:space="preserve">structured JSON output;</w:t>
      </w:r>
    </w:p>
    <w:p>
      <w:pPr>
        <w:pStyle w:val="Compact"/>
        <w:numPr>
          <w:ilvl w:val="0"/>
          <w:numId w:val="1026"/>
        </w:numPr>
      </w:pPr>
      <w:r>
        <w:t xml:space="preserve">video-frame input or multi-frame interpretation;</w:t>
      </w:r>
    </w:p>
    <w:p>
      <w:pPr>
        <w:pStyle w:val="Compact"/>
        <w:numPr>
          <w:ilvl w:val="0"/>
          <w:numId w:val="1026"/>
        </w:numPr>
      </w:pPr>
      <w:r>
        <w:t xml:space="preserve">tool calling or reliable schema generation;</w:t>
      </w:r>
    </w:p>
    <w:p>
      <w:pPr>
        <w:pStyle w:val="Compact"/>
        <w:numPr>
          <w:ilvl w:val="0"/>
          <w:numId w:val="1026"/>
        </w:numPr>
      </w:pPr>
      <w:r>
        <w:t xml:space="preserve">vLLM/SGLang-compatible serving where applicable;</w:t>
      </w:r>
    </w:p>
    <w:p>
      <w:pPr>
        <w:pStyle w:val="Compact"/>
        <w:numPr>
          <w:ilvl w:val="0"/>
          <w:numId w:val="1026"/>
        </w:numPr>
      </w:pPr>
      <w:r>
        <w:t xml:space="preserve">acceptable licence for government use.</w:t>
      </w:r>
    </w:p>
    <w:p>
      <w:pPr>
        <w:pStyle w:val="FirstParagraph"/>
      </w:pPr>
      <w:r>
        <w:t xml:space="preserve">The selected sovereign model must pass the same agricultural evaluation as the cloud model.</w:t>
      </w:r>
    </w:p>
    <w:bookmarkEnd w:id="58"/>
    <w:bookmarkStart w:id="59" w:name="model-gateway"/>
    <w:p>
      <w:pPr>
        <w:pStyle w:val="Heading2"/>
      </w:pPr>
      <w:r>
        <w:t xml:space="preserve">9.3 Model gateway</w:t>
      </w:r>
    </w:p>
    <w:p>
      <w:pPr>
        <w:pStyle w:val="FirstParagraph"/>
      </w:pPr>
      <w:r>
        <w:t xml:space="preserve">All model calls should go through an internal gateway:</w:t>
      </w:r>
    </w:p>
    <w:p>
      <w:pPr>
        <w:pStyle w:val="SourceCode"/>
      </w:pPr>
      <w:r>
        <w:rPr>
          <w:rStyle w:val="VerbatimChar"/>
        </w:rPr>
        <w:t xml:space="preserve">POST /v1/multimodal/analyse-case</w:t>
      </w:r>
    </w:p>
    <w:p>
      <w:pPr>
        <w:pStyle w:val="FirstParagraph"/>
      </w:pPr>
      <w:r>
        <w:t xml:space="preserve">The gateway should manage:</w:t>
      </w:r>
    </w:p>
    <w:p>
      <w:pPr>
        <w:pStyle w:val="Compact"/>
        <w:numPr>
          <w:ilvl w:val="0"/>
          <w:numId w:val="1027"/>
        </w:numPr>
      </w:pPr>
      <w:r>
        <w:t xml:space="preserve">provider routing;</w:t>
      </w:r>
    </w:p>
    <w:p>
      <w:pPr>
        <w:pStyle w:val="Compact"/>
        <w:numPr>
          <w:ilvl w:val="0"/>
          <w:numId w:val="1027"/>
        </w:numPr>
      </w:pPr>
      <w:r>
        <w:t xml:space="preserve">model version;</w:t>
      </w:r>
    </w:p>
    <w:p>
      <w:pPr>
        <w:pStyle w:val="Compact"/>
        <w:numPr>
          <w:ilvl w:val="0"/>
          <w:numId w:val="1027"/>
        </w:numPr>
      </w:pPr>
      <w:r>
        <w:t xml:space="preserve">timeouts;</w:t>
      </w:r>
    </w:p>
    <w:p>
      <w:pPr>
        <w:pStyle w:val="Compact"/>
        <w:numPr>
          <w:ilvl w:val="0"/>
          <w:numId w:val="1027"/>
        </w:numPr>
      </w:pPr>
      <w:r>
        <w:t xml:space="preserve">retries;</w:t>
      </w:r>
    </w:p>
    <w:p>
      <w:pPr>
        <w:pStyle w:val="Compact"/>
        <w:numPr>
          <w:ilvl w:val="0"/>
          <w:numId w:val="1027"/>
        </w:numPr>
      </w:pPr>
      <w:r>
        <w:t xml:space="preserve">circuit breakers;</w:t>
      </w:r>
    </w:p>
    <w:p>
      <w:pPr>
        <w:pStyle w:val="Compact"/>
        <w:numPr>
          <w:ilvl w:val="0"/>
          <w:numId w:val="1027"/>
        </w:numPr>
      </w:pPr>
      <w:r>
        <w:t xml:space="preserve">quota limits;</w:t>
      </w:r>
    </w:p>
    <w:p>
      <w:pPr>
        <w:pStyle w:val="Compact"/>
        <w:numPr>
          <w:ilvl w:val="0"/>
          <w:numId w:val="1027"/>
        </w:numPr>
      </w:pPr>
      <w:r>
        <w:t xml:space="preserve">data redaction;</w:t>
      </w:r>
    </w:p>
    <w:p>
      <w:pPr>
        <w:pStyle w:val="Compact"/>
        <w:numPr>
          <w:ilvl w:val="0"/>
          <w:numId w:val="1027"/>
        </w:numPr>
      </w:pPr>
      <w:r>
        <w:t xml:space="preserve">schema validation;</w:t>
      </w:r>
    </w:p>
    <w:p>
      <w:pPr>
        <w:pStyle w:val="Compact"/>
        <w:numPr>
          <w:ilvl w:val="0"/>
          <w:numId w:val="1027"/>
        </w:numPr>
      </w:pPr>
      <w:r>
        <w:t xml:space="preserve">cost controls;</w:t>
      </w:r>
    </w:p>
    <w:p>
      <w:pPr>
        <w:pStyle w:val="Compact"/>
        <w:numPr>
          <w:ilvl w:val="0"/>
          <w:numId w:val="1027"/>
        </w:numPr>
      </w:pPr>
      <w:r>
        <w:t xml:space="preserve">latency recording;</w:t>
      </w:r>
    </w:p>
    <w:p>
      <w:pPr>
        <w:pStyle w:val="Compact"/>
        <w:numPr>
          <w:ilvl w:val="0"/>
          <w:numId w:val="1027"/>
        </w:numPr>
      </w:pPr>
      <w:r>
        <w:t xml:space="preserve">fallback order;</w:t>
      </w:r>
    </w:p>
    <w:p>
      <w:pPr>
        <w:pStyle w:val="Compact"/>
        <w:numPr>
          <w:ilvl w:val="0"/>
          <w:numId w:val="1027"/>
        </w:numPr>
      </w:pPr>
      <w:r>
        <w:t xml:space="preserve">prompt version;</w:t>
      </w:r>
    </w:p>
    <w:p>
      <w:pPr>
        <w:pStyle w:val="Compact"/>
        <w:numPr>
          <w:ilvl w:val="0"/>
          <w:numId w:val="1027"/>
        </w:numPr>
      </w:pPr>
      <w:r>
        <w:t xml:space="preserve">response validation.</w:t>
      </w:r>
    </w:p>
    <w:p>
      <w:pPr>
        <w:pStyle w:val="FirstParagraph"/>
      </w:pPr>
      <w:r>
        <w:t xml:space="preserve">The application must never call vendor APIs directly from the Flutter client.</w:t>
      </w:r>
    </w:p>
    <w:bookmarkEnd w:id="59"/>
    <w:bookmarkStart w:id="60" w:name="structured-output"/>
    <w:p>
      <w:pPr>
        <w:pStyle w:val="Heading2"/>
      </w:pPr>
      <w:r>
        <w:t xml:space="preserve">9.4 Structured output</w:t>
      </w:r>
    </w:p>
    <w:p>
      <w:pPr>
        <w:pStyle w:val="FirstParagraph"/>
      </w:pPr>
      <w:r>
        <w:t xml:space="preserve">The multimodal model should not return uncontrolled prose to the policy engine.</w:t>
      </w:r>
    </w:p>
    <w:p>
      <w:pPr>
        <w:pStyle w:val="BodyText"/>
      </w:pPr>
      <w:r>
        <w:t xml:space="preserve">Required output:</w:t>
      </w:r>
    </w:p>
    <w:p>
      <w:pPr>
        <w:pStyle w:val="SourceCode"/>
      </w:pPr>
      <w:r>
        <w:rPr>
          <w:rStyle w:val="FunctionTok"/>
        </w:rPr>
        <w:t xml:space="preserve">{</w:t>
      </w:r>
      <w:r>
        <w:br/>
      </w:r>
      <w:r>
        <w:rPr>
          <w:rStyle w:val="NormalTok"/>
        </w:rPr>
        <w:t xml:space="preserve">  </w:t>
      </w:r>
      <w:r>
        <w:rPr>
          <w:rStyle w:val="DataTypeTok"/>
        </w:rPr>
        <w:t xml:space="preserve">"observations"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"finding"</w:t>
      </w:r>
      <w:r>
        <w:rPr>
          <w:rStyle w:val="FunctionTok"/>
        </w:rPr>
        <w:t xml:space="preserve">:</w:t>
      </w:r>
      <w:r>
        <w:rPr>
          <w:rStyle w:val="NormalTok"/>
        </w:rPr>
        <w:t xml:space="preserve"> </w:t>
      </w:r>
      <w:r>
        <w:rPr>
          <w:rStyle w:val="StringTok"/>
        </w:rPr>
        <w:t xml:space="preserve">"upward_leaf_curling"</w:t>
      </w:r>
      <w:r>
        <w:rPr>
          <w:rStyle w:val="FunctionTok"/>
        </w:rPr>
        <w:t xml:space="preserve">,</w:t>
      </w:r>
      <w:r>
        <w:br/>
      </w:r>
      <w:r>
        <w:rPr>
          <w:rStyle w:val="NormalTok"/>
        </w:rPr>
        <w:t xml:space="preserve">      </w:t>
      </w:r>
      <w:r>
        <w:rPr>
          <w:rStyle w:val="DataTypeTok"/>
        </w:rPr>
        <w:t xml:space="preserve">"evidence_source"</w:t>
      </w:r>
      <w:r>
        <w:rPr>
          <w:rStyle w:val="FunctionTok"/>
        </w:rPr>
        <w:t xml:space="preserve">:</w:t>
      </w:r>
      <w:r>
        <w:rPr>
          <w:rStyle w:val="NormalTok"/>
        </w:rPr>
        <w:t xml:space="preserve"> </w:t>
      </w:r>
      <w:r>
        <w:rPr>
          <w:rStyle w:val="StringTok"/>
        </w:rPr>
        <w:t xml:space="preserve">"image_2"</w:t>
      </w:r>
      <w:r>
        <w:rPr>
          <w:rStyle w:val="FunctionTok"/>
        </w:rPr>
        <w:t xml:space="preserve">,</w:t>
      </w:r>
      <w:r>
        <w:br/>
      </w:r>
      <w:r>
        <w:rPr>
          <w:rStyle w:val="NormalTok"/>
        </w:rPr>
        <w:t xml:space="preserve">      </w:t>
      </w:r>
      <w:r>
        <w:rPr>
          <w:rStyle w:val="DataTypeTok"/>
        </w:rPr>
        <w:t xml:space="preserve">"confidence"</w:t>
      </w:r>
      <w:r>
        <w:rPr>
          <w:rStyle w:val="FunctionTok"/>
        </w:rPr>
        <w:t xml:space="preserve">:</w:t>
      </w:r>
      <w:r>
        <w:rPr>
          <w:rStyle w:val="NormalTok"/>
        </w:rPr>
        <w:t xml:space="preserve"> </w:t>
      </w:r>
      <w:r>
        <w:rPr>
          <w:rStyle w:val="FloatTok"/>
        </w:rPr>
        <w:t xml:space="preserve">0.86</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"primary_hypothesis"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"condition_code"</w:t>
      </w:r>
      <w:r>
        <w:rPr>
          <w:rStyle w:val="FunctionTok"/>
        </w:rPr>
        <w:t xml:space="preserve">:</w:t>
      </w:r>
      <w:r>
        <w:rPr>
          <w:rStyle w:val="NormalTok"/>
        </w:rPr>
        <w:t xml:space="preserve"> </w:t>
      </w:r>
      <w:r>
        <w:rPr>
          <w:rStyle w:val="StringTok"/>
        </w:rPr>
        <w:t xml:space="preserve">"COTTON_LEAF_CURL"</w:t>
      </w:r>
      <w:r>
        <w:rPr>
          <w:rStyle w:val="FunctionTok"/>
        </w:rPr>
        <w:t xml:space="preserve">,</w:t>
      </w:r>
      <w:r>
        <w:br/>
      </w:r>
      <w:r>
        <w:rPr>
          <w:rStyle w:val="NormalTok"/>
        </w:rPr>
        <w:t xml:space="preserve">    </w:t>
      </w:r>
      <w:r>
        <w:rPr>
          <w:rStyle w:val="DataTypeTok"/>
        </w:rPr>
        <w:t xml:space="preserve">"confidence"</w:t>
      </w:r>
      <w:r>
        <w:rPr>
          <w:rStyle w:val="FunctionTok"/>
        </w:rPr>
        <w:t xml:space="preserve">:</w:t>
      </w:r>
      <w:r>
        <w:rPr>
          <w:rStyle w:val="NormalTok"/>
        </w:rPr>
        <w:t xml:space="preserve"> </w:t>
      </w:r>
      <w:r>
        <w:rPr>
          <w:rStyle w:val="FloatTok"/>
        </w:rPr>
        <w:t xml:space="preserve">0.78</w:t>
      </w:r>
      <w:r>
        <w:br/>
      </w:r>
      <w:r>
        <w:rPr>
          <w:rStyle w:val="NormalTok"/>
        </w:rPr>
        <w:t xml:space="preserve">  </w:t>
      </w:r>
      <w:r>
        <w:rPr>
          <w:rStyle w:val="FunctionTok"/>
        </w:rPr>
        <w:t xml:space="preserve">},</w:t>
      </w:r>
      <w:r>
        <w:br/>
      </w:r>
      <w:r>
        <w:rPr>
          <w:rStyle w:val="NormalTok"/>
        </w:rPr>
        <w:t xml:space="preserve">  </w:t>
      </w:r>
      <w:r>
        <w:rPr>
          <w:rStyle w:val="DataTypeTok"/>
        </w:rPr>
        <w:t xml:space="preserve">"differential_diagnoses"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"condition_code"</w:t>
      </w:r>
      <w:r>
        <w:rPr>
          <w:rStyle w:val="FunctionTok"/>
        </w:rPr>
        <w:t xml:space="preserve">:</w:t>
      </w:r>
      <w:r>
        <w:rPr>
          <w:rStyle w:val="NormalTok"/>
        </w:rPr>
        <w:t xml:space="preserve"> </w:t>
      </w:r>
      <w:r>
        <w:rPr>
          <w:rStyle w:val="StringTok"/>
        </w:rPr>
        <w:t xml:space="preserve">"WHITEFLY_FEEDING_DAMAGE"</w:t>
      </w:r>
      <w:r>
        <w:rPr>
          <w:rStyle w:val="FunctionTok"/>
        </w:rPr>
        <w:t xml:space="preserve">,</w:t>
      </w:r>
      <w:r>
        <w:br/>
      </w:r>
      <w:r>
        <w:rPr>
          <w:rStyle w:val="NormalTok"/>
        </w:rPr>
        <w:t xml:space="preserve">      </w:t>
      </w:r>
      <w:r>
        <w:rPr>
          <w:rStyle w:val="DataTypeTok"/>
        </w:rPr>
        <w:t xml:space="preserve">"confidence"</w:t>
      </w:r>
      <w:r>
        <w:rPr>
          <w:rStyle w:val="FunctionTok"/>
        </w:rPr>
        <w:t xml:space="preserve">:</w:t>
      </w:r>
      <w:r>
        <w:rPr>
          <w:rStyle w:val="NormalTok"/>
        </w:rPr>
        <w:t xml:space="preserve"> </w:t>
      </w:r>
      <w:r>
        <w:rPr>
          <w:rStyle w:val="FloatTok"/>
        </w:rPr>
        <w:t xml:space="preserve">0.49</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"image_quality"</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"sufficient"</w:t>
      </w:r>
      <w:r>
        <w:rPr>
          <w:rStyle w:val="FunctionTok"/>
        </w:rPr>
        <w:t xml:space="preserve">:</w:t>
      </w:r>
      <w:r>
        <w:rPr>
          <w:rStyle w:val="NormalTok"/>
        </w:rPr>
        <w:t xml:space="preserve"> </w:t>
      </w:r>
      <w:r>
        <w:rPr>
          <w:rStyle w:val="KeywordTok"/>
        </w:rPr>
        <w:t xml:space="preserve">true</w:t>
      </w:r>
      <w:r>
        <w:rPr>
          <w:rStyle w:val="FunctionTok"/>
        </w:rPr>
        <w:t xml:space="preserve">,</w:t>
      </w:r>
      <w:r>
        <w:br/>
      </w:r>
      <w:r>
        <w:rPr>
          <w:rStyle w:val="NormalTok"/>
        </w:rPr>
        <w:t xml:space="preserve">    </w:t>
      </w:r>
      <w:r>
        <w:rPr>
          <w:rStyle w:val="DataTypeTok"/>
        </w:rPr>
        <w:t xml:space="preserve">"limitations"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"missing_information"</w:t>
      </w:r>
      <w:r>
        <w:rPr>
          <w:rStyle w:val="FunctionTok"/>
        </w:rPr>
        <w:t xml:space="preserve">:</w:t>
      </w:r>
      <w:r>
        <w:rPr>
          <w:rStyle w:val="NormalTok"/>
        </w:rPr>
        <w:t xml:space="preserve"> </w:t>
      </w:r>
      <w:r>
        <w:rPr>
          <w:rStyle w:val="OtherTok"/>
        </w:rPr>
        <w:t xml:space="preserve">[</w:t>
      </w:r>
      <w:r>
        <w:br/>
      </w:r>
      <w:r>
        <w:rPr>
          <w:rStyle w:val="NormalTok"/>
        </w:rPr>
        <w:t xml:space="preserve">    </w:t>
      </w:r>
      <w:r>
        <w:rPr>
          <w:rStyle w:val="StringTok"/>
        </w:rPr>
        <w:t xml:space="preserve">"field_distribution"</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"recommended_workflow_action"</w:t>
      </w:r>
      <w:r>
        <w:rPr>
          <w:rStyle w:val="FunctionTok"/>
        </w:rPr>
        <w:t xml:space="preserve">:</w:t>
      </w:r>
      <w:r>
        <w:rPr>
          <w:rStyle w:val="NormalTok"/>
        </w:rPr>
        <w:t xml:space="preserve"> </w:t>
      </w:r>
      <w:r>
        <w:rPr>
          <w:rStyle w:val="StringTok"/>
        </w:rPr>
        <w:t xml:space="preserve">"ASK_FOLLOWUP"</w:t>
      </w:r>
      <w:r>
        <w:rPr>
          <w:rStyle w:val="FunctionTok"/>
        </w:rPr>
        <w:t xml:space="preserve">,</w:t>
      </w:r>
      <w:r>
        <w:br/>
      </w:r>
      <w:r>
        <w:rPr>
          <w:rStyle w:val="NormalTok"/>
        </w:rPr>
        <w:t xml:space="preserve">  </w:t>
      </w:r>
      <w:r>
        <w:rPr>
          <w:rStyle w:val="DataTypeTok"/>
        </w:rPr>
        <w:t xml:space="preserve">"treatment_lookup_required"</w:t>
      </w:r>
      <w:r>
        <w:rPr>
          <w:rStyle w:val="FunctionTok"/>
        </w:rPr>
        <w:t xml:space="preserve">:</w:t>
      </w:r>
      <w:r>
        <w:rPr>
          <w:rStyle w:val="NormalTok"/>
        </w:rPr>
        <w:t xml:space="preserve"> </w:t>
      </w:r>
      <w:r>
        <w:rPr>
          <w:rStyle w:val="KeywordTok"/>
        </w:rPr>
        <w:t xml:space="preserve">true</w:t>
      </w:r>
      <w:r>
        <w:br/>
      </w:r>
      <w:r>
        <w:rPr>
          <w:rStyle w:val="FunctionTok"/>
        </w:rPr>
        <w:t xml:space="preserve">}</w:t>
      </w:r>
    </w:p>
    <w:bookmarkEnd w:id="60"/>
    <w:bookmarkStart w:id="61" w:name="image-quality-gate"/>
    <w:p>
      <w:pPr>
        <w:pStyle w:val="Heading2"/>
      </w:pPr>
      <w:r>
        <w:t xml:space="preserve">9.5 Image quality gate</w:t>
      </w:r>
    </w:p>
    <w:p>
      <w:pPr>
        <w:pStyle w:val="FirstParagraph"/>
      </w:pPr>
      <w:r>
        <w:t xml:space="preserve">Before diagnosis:</w:t>
      </w:r>
    </w:p>
    <w:p>
      <w:pPr>
        <w:pStyle w:val="Compact"/>
        <w:numPr>
          <w:ilvl w:val="0"/>
          <w:numId w:val="1028"/>
        </w:numPr>
      </w:pPr>
      <w:r>
        <w:t xml:space="preserve">reject unusable images;</w:t>
      </w:r>
    </w:p>
    <w:p>
      <w:pPr>
        <w:pStyle w:val="Compact"/>
        <w:numPr>
          <w:ilvl w:val="0"/>
          <w:numId w:val="1028"/>
        </w:numPr>
      </w:pPr>
      <w:r>
        <w:t xml:space="preserve">detect whether the claimed crop is visible;</w:t>
      </w:r>
    </w:p>
    <w:p>
      <w:pPr>
        <w:pStyle w:val="Compact"/>
        <w:numPr>
          <w:ilvl w:val="0"/>
          <w:numId w:val="1028"/>
        </w:numPr>
      </w:pPr>
      <w:r>
        <w:t xml:space="preserve">verify that the affected area is large enough;</w:t>
      </w:r>
    </w:p>
    <w:p>
      <w:pPr>
        <w:pStyle w:val="Compact"/>
        <w:numPr>
          <w:ilvl w:val="0"/>
          <w:numId w:val="1028"/>
        </w:numPr>
      </w:pPr>
      <w:r>
        <w:t xml:space="preserve">request a second angle where needed;</w:t>
      </w:r>
    </w:p>
    <w:p>
      <w:pPr>
        <w:pStyle w:val="Compact"/>
        <w:numPr>
          <w:ilvl w:val="0"/>
          <w:numId w:val="1028"/>
        </w:numPr>
      </w:pPr>
      <w:r>
        <w:t xml:space="preserve">prevent unsupported diagnosis from screenshots or irrelevant images.</w:t>
      </w:r>
    </w:p>
    <w:bookmarkEnd w:id="61"/>
    <w:bookmarkStart w:id="62" w:name="video-processing-policy"/>
    <w:p>
      <w:pPr>
        <w:pStyle w:val="Heading2"/>
      </w:pPr>
      <w:r>
        <w:t xml:space="preserve">9.6 Video-processing policy</w:t>
      </w:r>
    </w:p>
    <w:p>
      <w:pPr>
        <w:pStyle w:val="FirstParagraph"/>
      </w:pPr>
      <w:r>
        <w:t xml:space="preserve">Do not send unrestricted continuous video.</w:t>
      </w:r>
    </w:p>
    <w:p>
      <w:pPr>
        <w:pStyle w:val="BodyText"/>
      </w:pPr>
      <w:r>
        <w:t xml:space="preserve">Recommended flow:</w:t>
      </w:r>
    </w:p>
    <w:p>
      <w:pPr>
        <w:pStyle w:val="SourceCode"/>
      </w:pPr>
      <w:r>
        <w:rPr>
          <w:rStyle w:val="VerbatimChar"/>
        </w:rPr>
        <w:t xml:space="preserve">Short clip</w:t>
      </w:r>
      <w:r>
        <w:br/>
      </w:r>
      <w:r>
        <w:rPr>
          <w:rStyle w:val="VerbatimChar"/>
        </w:rPr>
        <w:t xml:space="preserve">    ↓</w:t>
      </w:r>
      <w:r>
        <w:br/>
      </w:r>
      <w:r>
        <w:rPr>
          <w:rStyle w:val="VerbatimChar"/>
        </w:rPr>
        <w:t xml:space="preserve">On-device or server keyframe extraction</w:t>
      </w:r>
      <w:r>
        <w:br/>
      </w:r>
      <w:r>
        <w:rPr>
          <w:rStyle w:val="VerbatimChar"/>
        </w:rPr>
        <w:t xml:space="preserve">    ↓</w:t>
      </w:r>
      <w:r>
        <w:br/>
      </w:r>
      <w:r>
        <w:rPr>
          <w:rStyle w:val="VerbatimChar"/>
        </w:rPr>
        <w:t xml:space="preserve">Blur and duplication removal</w:t>
      </w:r>
      <w:r>
        <w:br/>
      </w:r>
      <w:r>
        <w:rPr>
          <w:rStyle w:val="VerbatimChar"/>
        </w:rPr>
        <w:t xml:space="preserve">    ↓</w:t>
      </w:r>
      <w:r>
        <w:br/>
      </w:r>
      <w:r>
        <w:rPr>
          <w:rStyle w:val="VerbatimChar"/>
        </w:rPr>
        <w:t xml:space="preserve">Representative frames</w:t>
      </w:r>
      <w:r>
        <w:br/>
      </w:r>
      <w:r>
        <w:rPr>
          <w:rStyle w:val="VerbatimChar"/>
        </w:rPr>
        <w:t xml:space="preserve">    ↓</w:t>
      </w:r>
      <w:r>
        <w:br/>
      </w:r>
      <w:r>
        <w:rPr>
          <w:rStyle w:val="VerbatimChar"/>
        </w:rPr>
        <w:t xml:space="preserve">Multimodal analysis</w:t>
      </w:r>
    </w:p>
    <w:p>
      <w:pPr>
        <w:pStyle w:val="FirstParagraph"/>
      </w:pPr>
      <w:r>
        <w:t xml:space="preserve">Retain the original video only where policy and consent permit.</w:t>
      </w:r>
    </w:p>
    <w:p>
      <w:r>
        <w:pict>
          <v:rect style="width:0;height:1.5pt" o:hralign="center" o:hrstd="t" o:hr="t"/>
        </w:pict>
      </w:r>
    </w:p>
    <w:bookmarkEnd w:id="62"/>
    <w:bookmarkEnd w:id="63"/>
    <w:bookmarkStart w:id="67" w:name="langgraph-orchestration-plan"/>
    <w:p>
      <w:pPr>
        <w:pStyle w:val="Heading1"/>
      </w:pPr>
      <w:r>
        <w:t xml:space="preserve">10. LangGraph orchestration plan</w:t>
      </w:r>
    </w:p>
    <w:p>
      <w:pPr>
        <w:pStyle w:val="FirstParagraph"/>
      </w:pPr>
      <w:r>
        <w:t xml:space="preserve">LangGraph should control the agricultural decision workflow, not audio packets or individual camera frames.</w:t>
      </w:r>
    </w:p>
    <w:p>
      <w:pPr>
        <w:pStyle w:val="BodyText"/>
      </w:pPr>
      <w:r>
        <w:t xml:space="preserve">LangGraph provides checkpointed state, resumable workflows and human-in-the-loop interruption patterns suitable for controlled review.</w:t>
      </w:r>
    </w:p>
    <w:bookmarkStart w:id="64" w:name="proposed-graph"/>
    <w:p>
      <w:pPr>
        <w:pStyle w:val="Heading2"/>
      </w:pPr>
      <w:r>
        <w:t xml:space="preserve">10.1 Proposed graph</w:t>
      </w:r>
    </w:p>
    <w:p>
      <w:pPr>
        <w:pStyle w:val="SourceCode"/>
      </w:pPr>
      <w:r>
        <w:rPr>
          <w:rStyle w:val="VerbatimChar"/>
        </w:rPr>
        <w:t xml:space="preserve">START</w:t>
      </w:r>
      <w:r>
        <w:br/>
      </w:r>
      <w:r>
        <w:rPr>
          <w:rStyle w:val="VerbatimChar"/>
        </w:rPr>
        <w:t xml:space="preserve">  ↓</w:t>
      </w:r>
      <w:r>
        <w:br/>
      </w:r>
      <w:r>
        <w:rPr>
          <w:rStyle w:val="VerbatimChar"/>
        </w:rPr>
        <w:t xml:space="preserve">Authenticate session</w:t>
      </w:r>
      <w:r>
        <w:br/>
      </w:r>
      <w:r>
        <w:rPr>
          <w:rStyle w:val="VerbatimChar"/>
        </w:rPr>
        <w:t xml:space="preserve">  ↓</w:t>
      </w:r>
      <w:r>
        <w:br/>
      </w:r>
      <w:r>
        <w:rPr>
          <w:rStyle w:val="VerbatimChar"/>
        </w:rPr>
        <w:t xml:space="preserve">Classify farmer intent</w:t>
      </w:r>
      <w:r>
        <w:br/>
      </w:r>
      <w:r>
        <w:rPr>
          <w:rStyle w:val="VerbatimChar"/>
        </w:rPr>
        <w:t xml:space="preserve">  ├── General knowledge</w:t>
      </w:r>
      <w:r>
        <w:br/>
      </w:r>
      <w:r>
        <w:rPr>
          <w:rStyle w:val="VerbatimChar"/>
        </w:rPr>
        <w:t xml:space="preserve">  ├── Diagnosis</w:t>
      </w:r>
      <w:r>
        <w:br/>
      </w:r>
      <w:r>
        <w:rPr>
          <w:rStyle w:val="VerbatimChar"/>
        </w:rPr>
        <w:t xml:space="preserve">  ├── Treatment question</w:t>
      </w:r>
      <w:r>
        <w:br/>
      </w:r>
      <w:r>
        <w:rPr>
          <w:rStyle w:val="VerbatimChar"/>
        </w:rPr>
        <w:t xml:space="preserve">  ├── Existing case follow-up</w:t>
      </w:r>
      <w:r>
        <w:br/>
      </w:r>
      <w:r>
        <w:rPr>
          <w:rStyle w:val="VerbatimChar"/>
        </w:rPr>
        <w:t xml:space="preserve">  └── Emergency/high-risk report</w:t>
      </w:r>
      <w:r>
        <w:br/>
      </w:r>
      <w:r>
        <w:rPr>
          <w:rStyle w:val="VerbatimChar"/>
        </w:rPr>
        <w:t xml:space="preserve">  ↓</w:t>
      </w:r>
      <w:r>
        <w:br/>
      </w:r>
      <w:r>
        <w:rPr>
          <w:rStyle w:val="VerbatimChar"/>
        </w:rPr>
        <w:t xml:space="preserve">Collect required context</w:t>
      </w:r>
      <w:r>
        <w:br/>
      </w:r>
      <w:r>
        <w:rPr>
          <w:rStyle w:val="VerbatimChar"/>
        </w:rPr>
        <w:t xml:space="preserve">  ├── Crop</w:t>
      </w:r>
      <w:r>
        <w:br/>
      </w:r>
      <w:r>
        <w:rPr>
          <w:rStyle w:val="VerbatimChar"/>
        </w:rPr>
        <w:t xml:space="preserve">  ├── District/location</w:t>
      </w:r>
      <w:r>
        <w:br/>
      </w:r>
      <w:r>
        <w:rPr>
          <w:rStyle w:val="VerbatimChar"/>
        </w:rPr>
        <w:t xml:space="preserve">  ├── Growth stage</w:t>
      </w:r>
      <w:r>
        <w:br/>
      </w:r>
      <w:r>
        <w:rPr>
          <w:rStyle w:val="VerbatimChar"/>
        </w:rPr>
        <w:t xml:space="preserve">  ├── Season</w:t>
      </w:r>
      <w:r>
        <w:br/>
      </w:r>
      <w:r>
        <w:rPr>
          <w:rStyle w:val="VerbatimChar"/>
        </w:rPr>
        <w:t xml:space="preserve">  ├── Recent treatments</w:t>
      </w:r>
      <w:r>
        <w:br/>
      </w:r>
      <w:r>
        <w:rPr>
          <w:rStyle w:val="VerbatimChar"/>
        </w:rPr>
        <w:t xml:space="preserve">  └── Symptom duration</w:t>
      </w:r>
      <w:r>
        <w:br/>
      </w:r>
      <w:r>
        <w:rPr>
          <w:rStyle w:val="VerbatimChar"/>
        </w:rPr>
        <w:t xml:space="preserve">  ↓</w:t>
      </w:r>
      <w:r>
        <w:br/>
      </w:r>
      <w:r>
        <w:rPr>
          <w:rStyle w:val="VerbatimChar"/>
        </w:rPr>
        <w:t xml:space="preserve">Validate transcript confidence</w:t>
      </w:r>
      <w:r>
        <w:br/>
      </w:r>
      <w:r>
        <w:rPr>
          <w:rStyle w:val="VerbatimChar"/>
        </w:rPr>
        <w:t xml:space="preserve">  ↓</w:t>
      </w:r>
      <w:r>
        <w:br/>
      </w:r>
      <w:r>
        <w:rPr>
          <w:rStyle w:val="VerbatimChar"/>
        </w:rPr>
        <w:t xml:space="preserve">Validate image/video quality</w:t>
      </w:r>
      <w:r>
        <w:br/>
      </w:r>
      <w:r>
        <w:rPr>
          <w:rStyle w:val="VerbatimChar"/>
        </w:rPr>
        <w:t xml:space="preserve">  ↓</w:t>
      </w:r>
      <w:r>
        <w:br/>
      </w:r>
      <w:r>
        <w:rPr>
          <w:rStyle w:val="VerbatimChar"/>
        </w:rPr>
        <w:t xml:space="preserve">Retrieve field history</w:t>
      </w:r>
      <w:r>
        <w:br/>
      </w:r>
      <w:r>
        <w:rPr>
          <w:rStyle w:val="VerbatimChar"/>
        </w:rPr>
        <w:t xml:space="preserve">  ↓</w:t>
      </w:r>
      <w:r>
        <w:br/>
      </w:r>
      <w:r>
        <w:rPr>
          <w:rStyle w:val="VerbatimChar"/>
        </w:rPr>
        <w:t xml:space="preserve">Retrieve approved knowledge</w:t>
      </w:r>
      <w:r>
        <w:br/>
      </w:r>
      <w:r>
        <w:rPr>
          <w:rStyle w:val="VerbatimChar"/>
        </w:rPr>
        <w:t xml:space="preserve">  ↓</w:t>
      </w:r>
      <w:r>
        <w:br/>
      </w:r>
      <w:r>
        <w:rPr>
          <w:rStyle w:val="VerbatimChar"/>
        </w:rPr>
        <w:t xml:space="preserve">Run multimodal analysis</w:t>
      </w:r>
      <w:r>
        <w:br/>
      </w:r>
      <w:r>
        <w:rPr>
          <w:rStyle w:val="VerbatimChar"/>
        </w:rPr>
        <w:t xml:space="preserve">  ↓</w:t>
      </w:r>
      <w:r>
        <w:br/>
      </w:r>
      <w:r>
        <w:rPr>
          <w:rStyle w:val="VerbatimChar"/>
        </w:rPr>
        <w:t xml:space="preserve">Run differential diagnosis check</w:t>
      </w:r>
      <w:r>
        <w:br/>
      </w:r>
      <w:r>
        <w:rPr>
          <w:rStyle w:val="VerbatimChar"/>
        </w:rPr>
        <w:t xml:space="preserve">  ↓</w:t>
      </w:r>
      <w:r>
        <w:br/>
      </w:r>
      <w:r>
        <w:rPr>
          <w:rStyle w:val="VerbatimChar"/>
        </w:rPr>
        <w:t xml:space="preserve">Run policy-engine validation</w:t>
      </w:r>
      <w:r>
        <w:br/>
      </w:r>
      <w:r>
        <w:rPr>
          <w:rStyle w:val="VerbatimChar"/>
        </w:rPr>
        <w:t xml:space="preserve">  ↓</w:t>
      </w:r>
      <w:r>
        <w:br/>
      </w:r>
      <w:r>
        <w:rPr>
          <w:rStyle w:val="VerbatimChar"/>
        </w:rPr>
        <w:t xml:space="preserve">Run response safety validator</w:t>
      </w:r>
      <w:r>
        <w:br/>
      </w:r>
      <w:r>
        <w:rPr>
          <w:rStyle w:val="VerbatimChar"/>
        </w:rPr>
        <w:t xml:space="preserve">  ↓</w:t>
      </w:r>
      <w:r>
        <w:br/>
      </w:r>
      <w:r>
        <w:rPr>
          <w:rStyle w:val="VerbatimChar"/>
        </w:rPr>
        <w:t xml:space="preserve">Confidence and risk gate</w:t>
      </w:r>
      <w:r>
        <w:br/>
      </w:r>
      <w:r>
        <w:rPr>
          <w:rStyle w:val="VerbatimChar"/>
        </w:rPr>
        <w:t xml:space="preserve">  ├── High confidence + low risk → Answer</w:t>
      </w:r>
      <w:r>
        <w:br/>
      </w:r>
      <w:r>
        <w:rPr>
          <w:rStyle w:val="VerbatimChar"/>
        </w:rPr>
        <w:t xml:space="preserve">  ├── Missing evidence → Ask follow-up</w:t>
      </w:r>
      <w:r>
        <w:br/>
      </w:r>
      <w:r>
        <w:rPr>
          <w:rStyle w:val="VerbatimChar"/>
        </w:rPr>
        <w:t xml:space="preserve">  ├── Medium confidence → Provide cautious guidance</w:t>
      </w:r>
      <w:r>
        <w:br/>
      </w:r>
      <w:r>
        <w:rPr>
          <w:rStyle w:val="VerbatimChar"/>
        </w:rPr>
        <w:t xml:space="preserve">  ├── High-risk treatment → Officer approval</w:t>
      </w:r>
      <w:r>
        <w:br/>
      </w:r>
      <w:r>
        <w:rPr>
          <w:rStyle w:val="VerbatimChar"/>
        </w:rPr>
        <w:t xml:space="preserve">  └── Low confidence/contradiction → Escalate</w:t>
      </w:r>
      <w:r>
        <w:br/>
      </w:r>
      <w:r>
        <w:rPr>
          <w:rStyle w:val="VerbatimChar"/>
        </w:rPr>
        <w:t xml:space="preserve">  ↓</w:t>
      </w:r>
      <w:r>
        <w:br/>
      </w:r>
      <w:r>
        <w:rPr>
          <w:rStyle w:val="VerbatimChar"/>
        </w:rPr>
        <w:t xml:space="preserve">Generate approved Urdu response</w:t>
      </w:r>
      <w:r>
        <w:br/>
      </w:r>
      <w:r>
        <w:rPr>
          <w:rStyle w:val="VerbatimChar"/>
        </w:rPr>
        <w:t xml:space="preserve">  ↓</w:t>
      </w:r>
      <w:r>
        <w:br/>
      </w:r>
      <w:r>
        <w:rPr>
          <w:rStyle w:val="VerbatimChar"/>
        </w:rPr>
        <w:t xml:space="preserve">Create audit record</w:t>
      </w:r>
      <w:r>
        <w:br/>
      </w:r>
      <w:r>
        <w:rPr>
          <w:rStyle w:val="VerbatimChar"/>
        </w:rPr>
        <w:t xml:space="preserve">  ↓</w:t>
      </w:r>
      <w:r>
        <w:br/>
      </w:r>
      <w:r>
        <w:rPr>
          <w:rStyle w:val="VerbatimChar"/>
        </w:rPr>
        <w:t xml:space="preserve">Update analytics pipeline</w:t>
      </w:r>
      <w:r>
        <w:br/>
      </w:r>
      <w:r>
        <w:rPr>
          <w:rStyle w:val="VerbatimChar"/>
        </w:rPr>
        <w:t xml:space="preserve">  ↓</w:t>
      </w:r>
      <w:r>
        <w:br/>
      </w:r>
      <w:r>
        <w:rPr>
          <w:rStyle w:val="VerbatimChar"/>
        </w:rPr>
        <w:t xml:space="preserve">END</w:t>
      </w:r>
    </w:p>
    <w:bookmarkEnd w:id="64"/>
    <w:bookmarkStart w:id="65" w:name="langgraph-state"/>
    <w:p>
      <w:pPr>
        <w:pStyle w:val="Heading2"/>
      </w:pPr>
      <w:r>
        <w:t xml:space="preserve">10.2 LangGraph state</w:t>
      </w:r>
    </w:p>
    <w:p>
      <w:pPr>
        <w:pStyle w:val="SourceCode"/>
      </w:pPr>
      <w:r>
        <w:rPr>
          <w:rStyle w:val="KeywordTok"/>
        </w:rPr>
        <w:t xml:space="preserve">class</w:t>
      </w:r>
      <w:r>
        <w:rPr>
          <w:rStyle w:val="NormalTok"/>
        </w:rPr>
        <w:t xml:space="preserve"> AgricultureCaseState:</w:t>
      </w:r>
      <w:r>
        <w:br/>
      </w:r>
      <w:r>
        <w:rPr>
          <w:rStyle w:val="NormalTok"/>
        </w:rPr>
        <w:t xml:space="preserve">    case_id: </w:t>
      </w:r>
      <w:r>
        <w:rPr>
          <w:rStyle w:val="BuiltInTok"/>
        </w:rPr>
        <w:t xml:space="preserve">str</w:t>
      </w:r>
      <w:r>
        <w:br/>
      </w:r>
      <w:r>
        <w:rPr>
          <w:rStyle w:val="NormalTok"/>
        </w:rPr>
        <w:t xml:space="preserve">    farmer_id: </w:t>
      </w:r>
      <w:r>
        <w:rPr>
          <w:rStyle w:val="BuiltInTok"/>
        </w:rPr>
        <w:t xml:space="preserve">str</w:t>
      </w:r>
      <w:r>
        <w:rPr>
          <w:rStyle w:val="NormalTok"/>
        </w:rPr>
        <w:t xml:space="preserve"> </w:t>
      </w:r>
      <w:r>
        <w:rPr>
          <w:rStyle w:val="OperatorTok"/>
        </w:rPr>
        <w:t xml:space="preserve">|</w:t>
      </w:r>
      <w:r>
        <w:rPr>
          <w:rStyle w:val="NormalTok"/>
        </w:rPr>
        <w:t xml:space="preserve"> </w:t>
      </w:r>
      <w:r>
        <w:rPr>
          <w:rStyle w:val="VariableTok"/>
        </w:rPr>
        <w:t xml:space="preserve">None</w:t>
      </w:r>
      <w:r>
        <w:br/>
      </w:r>
      <w:r>
        <w:rPr>
          <w:rStyle w:val="NormalTok"/>
        </w:rPr>
        <w:t xml:space="preserve">    session_id: </w:t>
      </w:r>
      <w:r>
        <w:rPr>
          <w:rStyle w:val="BuiltInTok"/>
        </w:rPr>
        <w:t xml:space="preserve">str</w:t>
      </w:r>
      <w:r>
        <w:br/>
      </w:r>
      <w:r>
        <w:rPr>
          <w:rStyle w:val="NormalTok"/>
        </w:rPr>
        <w:t xml:space="preserve">    language: </w:t>
      </w:r>
      <w:r>
        <w:rPr>
          <w:rStyle w:val="BuiltInTok"/>
        </w:rPr>
        <w:t xml:space="preserve">str</w:t>
      </w:r>
      <w:r>
        <w:br/>
      </w:r>
      <w:r>
        <w:rPr>
          <w:rStyle w:val="NormalTok"/>
        </w:rPr>
        <w:t xml:space="preserve">    original_transcript: </w:t>
      </w:r>
      <w:r>
        <w:rPr>
          <w:rStyle w:val="BuiltInTok"/>
        </w:rPr>
        <w:t xml:space="preserve">str</w:t>
      </w:r>
      <w:r>
        <w:br/>
      </w:r>
      <w:r>
        <w:rPr>
          <w:rStyle w:val="NormalTok"/>
        </w:rPr>
        <w:t xml:space="preserve">    normalized_transcript: </w:t>
      </w:r>
      <w:r>
        <w:rPr>
          <w:rStyle w:val="BuiltInTok"/>
        </w:rPr>
        <w:t xml:space="preserve">str</w:t>
      </w:r>
      <w:r>
        <w:br/>
      </w:r>
      <w:r>
        <w:rPr>
          <w:rStyle w:val="NormalTok"/>
        </w:rPr>
        <w:t xml:space="preserve">    stt_confidence: </w:t>
      </w:r>
      <w:r>
        <w:rPr>
          <w:rStyle w:val="BuiltInTok"/>
        </w:rPr>
        <w:t xml:space="preserve">float</w:t>
      </w:r>
      <w:r>
        <w:br/>
      </w:r>
      <w:r>
        <w:rPr>
          <w:rStyle w:val="NormalTok"/>
        </w:rPr>
        <w:t xml:space="preserve">    entities: </w:t>
      </w:r>
      <w:r>
        <w:rPr>
          <w:rStyle w:val="BuiltInTok"/>
        </w:rPr>
        <w:t xml:space="preserve">list</w:t>
      </w:r>
      <w:r>
        <w:br/>
      </w:r>
      <w:r>
        <w:rPr>
          <w:rStyle w:val="NormalTok"/>
        </w:rPr>
        <w:t xml:space="preserve">    crop_context: </w:t>
      </w:r>
      <w:r>
        <w:rPr>
          <w:rStyle w:val="BuiltInTok"/>
        </w:rPr>
        <w:t xml:space="preserve">dict</w:t>
      </w:r>
      <w:r>
        <w:br/>
      </w:r>
      <w:r>
        <w:rPr>
          <w:rStyle w:val="NormalTok"/>
        </w:rPr>
        <w:t xml:space="preserve">    location_context: </w:t>
      </w:r>
      <w:r>
        <w:rPr>
          <w:rStyle w:val="BuiltInTok"/>
        </w:rPr>
        <w:t xml:space="preserve">dict</w:t>
      </w:r>
      <w:r>
        <w:br/>
      </w:r>
      <w:r>
        <w:rPr>
          <w:rStyle w:val="NormalTok"/>
        </w:rPr>
        <w:t xml:space="preserve">    media_assets: </w:t>
      </w:r>
      <w:r>
        <w:rPr>
          <w:rStyle w:val="BuiltInTok"/>
        </w:rPr>
        <w:t xml:space="preserve">list</w:t>
      </w:r>
      <w:r>
        <w:br/>
      </w:r>
      <w:r>
        <w:rPr>
          <w:rStyle w:val="NormalTok"/>
        </w:rPr>
        <w:t xml:space="preserve">    image_quality: </w:t>
      </w:r>
      <w:r>
        <w:rPr>
          <w:rStyle w:val="BuiltInTok"/>
        </w:rPr>
        <w:t xml:space="preserve">dict</w:t>
      </w:r>
      <w:r>
        <w:br/>
      </w:r>
      <w:r>
        <w:rPr>
          <w:rStyle w:val="NormalTok"/>
        </w:rPr>
        <w:t xml:space="preserve">    model_observations: </w:t>
      </w:r>
      <w:r>
        <w:rPr>
          <w:rStyle w:val="BuiltInTok"/>
        </w:rPr>
        <w:t xml:space="preserve">list</w:t>
      </w:r>
      <w:r>
        <w:br/>
      </w:r>
      <w:r>
        <w:rPr>
          <w:rStyle w:val="NormalTok"/>
        </w:rPr>
        <w:t xml:space="preserve">    differential_diagnoses: </w:t>
      </w:r>
      <w:r>
        <w:rPr>
          <w:rStyle w:val="BuiltInTok"/>
        </w:rPr>
        <w:t xml:space="preserve">list</w:t>
      </w:r>
      <w:r>
        <w:br/>
      </w:r>
      <w:r>
        <w:rPr>
          <w:rStyle w:val="NormalTok"/>
        </w:rPr>
        <w:t xml:space="preserve">    retrieved_sources: </w:t>
      </w:r>
      <w:r>
        <w:rPr>
          <w:rStyle w:val="BuiltInTok"/>
        </w:rPr>
        <w:t xml:space="preserve">list</w:t>
      </w:r>
      <w:r>
        <w:br/>
      </w:r>
      <w:r>
        <w:rPr>
          <w:rStyle w:val="NormalTok"/>
        </w:rPr>
        <w:t xml:space="preserve">    policy_results: </w:t>
      </w:r>
      <w:r>
        <w:rPr>
          <w:rStyle w:val="BuiltInTok"/>
        </w:rPr>
        <w:t xml:space="preserve">list</w:t>
      </w:r>
      <w:r>
        <w:br/>
      </w:r>
      <w:r>
        <w:rPr>
          <w:rStyle w:val="NormalTok"/>
        </w:rPr>
        <w:t xml:space="preserve">    risk_level: </w:t>
      </w:r>
      <w:r>
        <w:rPr>
          <w:rStyle w:val="BuiltInTok"/>
        </w:rPr>
        <w:t xml:space="preserve">str</w:t>
      </w:r>
      <w:r>
        <w:br/>
      </w:r>
      <w:r>
        <w:rPr>
          <w:rStyle w:val="NormalTok"/>
        </w:rPr>
        <w:t xml:space="preserve">    confidence_level: </w:t>
      </w:r>
      <w:r>
        <w:rPr>
          <w:rStyle w:val="BuiltInTok"/>
        </w:rPr>
        <w:t xml:space="preserve">str</w:t>
      </w:r>
      <w:r>
        <w:br/>
      </w:r>
      <w:r>
        <w:rPr>
          <w:rStyle w:val="NormalTok"/>
        </w:rPr>
        <w:t xml:space="preserve">    escalation_status: </w:t>
      </w:r>
      <w:r>
        <w:rPr>
          <w:rStyle w:val="BuiltInTok"/>
        </w:rPr>
        <w:t xml:space="preserve">str</w:t>
      </w:r>
      <w:r>
        <w:rPr>
          <w:rStyle w:val="NormalTok"/>
        </w:rPr>
        <w:t xml:space="preserve"> </w:t>
      </w:r>
      <w:r>
        <w:rPr>
          <w:rStyle w:val="OperatorTok"/>
        </w:rPr>
        <w:t xml:space="preserve">|</w:t>
      </w:r>
      <w:r>
        <w:rPr>
          <w:rStyle w:val="NormalTok"/>
        </w:rPr>
        <w:t xml:space="preserve"> </w:t>
      </w:r>
      <w:r>
        <w:rPr>
          <w:rStyle w:val="VariableTok"/>
        </w:rPr>
        <w:t xml:space="preserve">None</w:t>
      </w:r>
      <w:r>
        <w:br/>
      </w:r>
      <w:r>
        <w:rPr>
          <w:rStyle w:val="NormalTok"/>
        </w:rPr>
        <w:t xml:space="preserve">    approved_response_text: </w:t>
      </w:r>
      <w:r>
        <w:rPr>
          <w:rStyle w:val="BuiltInTok"/>
        </w:rPr>
        <w:t xml:space="preserve">str</w:t>
      </w:r>
      <w:r>
        <w:rPr>
          <w:rStyle w:val="NormalTok"/>
        </w:rPr>
        <w:t xml:space="preserve"> </w:t>
      </w:r>
      <w:r>
        <w:rPr>
          <w:rStyle w:val="OperatorTok"/>
        </w:rPr>
        <w:t xml:space="preserve">|</w:t>
      </w:r>
      <w:r>
        <w:rPr>
          <w:rStyle w:val="NormalTok"/>
        </w:rPr>
        <w:t xml:space="preserve"> </w:t>
      </w:r>
      <w:r>
        <w:rPr>
          <w:rStyle w:val="VariableTok"/>
        </w:rPr>
        <w:t xml:space="preserve">None</w:t>
      </w:r>
      <w:r>
        <w:br/>
      </w:r>
      <w:r>
        <w:rPr>
          <w:rStyle w:val="NormalTok"/>
        </w:rPr>
        <w:t xml:space="preserve">    audit_events: </w:t>
      </w:r>
      <w:r>
        <w:rPr>
          <w:rStyle w:val="BuiltInTok"/>
        </w:rPr>
        <w:t xml:space="preserve">list</w:t>
      </w:r>
    </w:p>
    <w:bookmarkEnd w:id="65"/>
    <w:bookmarkStart w:id="66" w:name="where-not-to-use-langgraph"/>
    <w:p>
      <w:pPr>
        <w:pStyle w:val="Heading2"/>
      </w:pPr>
      <w:r>
        <w:t xml:space="preserve">10.3 Where not to use LangGraph</w:t>
      </w:r>
    </w:p>
    <w:p>
      <w:pPr>
        <w:pStyle w:val="FirstParagraph"/>
      </w:pPr>
      <w:r>
        <w:t xml:space="preserve">Do not use it for:</w:t>
      </w:r>
    </w:p>
    <w:p>
      <w:pPr>
        <w:pStyle w:val="Compact"/>
        <w:numPr>
          <w:ilvl w:val="0"/>
          <w:numId w:val="1029"/>
        </w:numPr>
      </w:pPr>
      <w:r>
        <w:t xml:space="preserve">streaming PCM audio;</w:t>
      </w:r>
    </w:p>
    <w:p>
      <w:pPr>
        <w:pStyle w:val="Compact"/>
        <w:numPr>
          <w:ilvl w:val="0"/>
          <w:numId w:val="1029"/>
        </w:numPr>
      </w:pPr>
      <w:r>
        <w:t xml:space="preserve">video packet forwarding;</w:t>
      </w:r>
    </w:p>
    <w:p>
      <w:pPr>
        <w:pStyle w:val="Compact"/>
        <w:numPr>
          <w:ilvl w:val="0"/>
          <w:numId w:val="1029"/>
        </w:numPr>
      </w:pPr>
      <w:r>
        <w:t xml:space="preserve">VAD calculations;</w:t>
      </w:r>
    </w:p>
    <w:p>
      <w:pPr>
        <w:pStyle w:val="Compact"/>
        <w:numPr>
          <w:ilvl w:val="0"/>
          <w:numId w:val="1029"/>
        </w:numPr>
      </w:pPr>
      <w:r>
        <w:t xml:space="preserve">WebRTC signalling;</w:t>
      </w:r>
    </w:p>
    <w:p>
      <w:pPr>
        <w:pStyle w:val="Compact"/>
        <w:numPr>
          <w:ilvl w:val="0"/>
          <w:numId w:val="1029"/>
        </w:numPr>
      </w:pPr>
      <w:r>
        <w:t xml:space="preserve">every partial transcript;</w:t>
      </w:r>
    </w:p>
    <w:p>
      <w:pPr>
        <w:pStyle w:val="Compact"/>
        <w:numPr>
          <w:ilvl w:val="0"/>
          <w:numId w:val="1029"/>
        </w:numPr>
      </w:pPr>
      <w:r>
        <w:t xml:space="preserve">TTS audio chunk scheduling.</w:t>
      </w:r>
    </w:p>
    <w:p>
      <w:pPr>
        <w:pStyle w:val="FirstParagraph"/>
      </w:pPr>
      <w:r>
        <w:t xml:space="preserve">Those remain in LiveKit and the agent worker.</w:t>
      </w:r>
    </w:p>
    <w:p>
      <w:r>
        <w:pict>
          <v:rect style="width:0;height:1.5pt" o:hralign="center" o:hrstd="t" o:hr="t"/>
        </w:pict>
      </w:r>
    </w:p>
    <w:bookmarkEnd w:id="66"/>
    <w:bookmarkEnd w:id="67"/>
    <w:bookmarkStart w:id="74" w:name="rag-and-knowledge-management-plan"/>
    <w:p>
      <w:pPr>
        <w:pStyle w:val="Heading1"/>
      </w:pPr>
      <w:r>
        <w:t xml:space="preserve">11. RAG and knowledge-management plan</w:t>
      </w:r>
    </w:p>
    <w:bookmarkStart w:id="68" w:name="approved-sources"/>
    <w:p>
      <w:pPr>
        <w:pStyle w:val="Heading2"/>
      </w:pPr>
      <w:r>
        <w:t xml:space="preserve">11.1 Approved sources</w:t>
      </w:r>
    </w:p>
    <w:p>
      <w:pPr>
        <w:pStyle w:val="FirstParagraph"/>
      </w:pPr>
      <w:r>
        <w:t xml:space="preserve">The knowledge base may contain:</w:t>
      </w:r>
    </w:p>
    <w:p>
      <w:pPr>
        <w:pStyle w:val="Compact"/>
        <w:numPr>
          <w:ilvl w:val="0"/>
          <w:numId w:val="1030"/>
        </w:numPr>
      </w:pPr>
      <w:r>
        <w:t xml:space="preserve">Agriculture Department manuals;</w:t>
      </w:r>
    </w:p>
    <w:p>
      <w:pPr>
        <w:pStyle w:val="Compact"/>
        <w:numPr>
          <w:ilvl w:val="0"/>
          <w:numId w:val="1030"/>
        </w:numPr>
      </w:pPr>
      <w:r>
        <w:t xml:space="preserve">approved pest and disease advisories;</w:t>
      </w:r>
    </w:p>
    <w:p>
      <w:pPr>
        <w:pStyle w:val="Compact"/>
        <w:numPr>
          <w:ilvl w:val="0"/>
          <w:numId w:val="1030"/>
        </w:numPr>
      </w:pPr>
      <w:r>
        <w:t xml:space="preserve">registered-product lists;</w:t>
      </w:r>
    </w:p>
    <w:p>
      <w:pPr>
        <w:pStyle w:val="Compact"/>
        <w:numPr>
          <w:ilvl w:val="0"/>
          <w:numId w:val="1030"/>
        </w:numPr>
      </w:pPr>
      <w:r>
        <w:t xml:space="preserve">official crop calendars;</w:t>
      </w:r>
    </w:p>
    <w:p>
      <w:pPr>
        <w:pStyle w:val="Compact"/>
        <w:numPr>
          <w:ilvl w:val="0"/>
          <w:numId w:val="1030"/>
        </w:numPr>
      </w:pPr>
      <w:r>
        <w:t xml:space="preserve">soil and irrigation guidance;</w:t>
      </w:r>
    </w:p>
    <w:p>
      <w:pPr>
        <w:pStyle w:val="Compact"/>
        <w:numPr>
          <w:ilvl w:val="0"/>
          <w:numId w:val="1030"/>
        </w:numPr>
      </w:pPr>
      <w:r>
        <w:t xml:space="preserve">district advisories;</w:t>
      </w:r>
    </w:p>
    <w:p>
      <w:pPr>
        <w:pStyle w:val="Compact"/>
        <w:numPr>
          <w:ilvl w:val="0"/>
          <w:numId w:val="1030"/>
        </w:numPr>
      </w:pPr>
      <w:r>
        <w:t xml:space="preserve">laboratory guidance;</w:t>
      </w:r>
    </w:p>
    <w:p>
      <w:pPr>
        <w:pStyle w:val="Compact"/>
        <w:numPr>
          <w:ilvl w:val="0"/>
          <w:numId w:val="1030"/>
        </w:numPr>
      </w:pPr>
      <w:r>
        <w:t xml:space="preserve">extension-officer procedures;</w:t>
      </w:r>
    </w:p>
    <w:p>
      <w:pPr>
        <w:pStyle w:val="Compact"/>
        <w:numPr>
          <w:ilvl w:val="0"/>
          <w:numId w:val="1030"/>
        </w:numPr>
      </w:pPr>
      <w:r>
        <w:t xml:space="preserve">selected research reviewed and approved by the department;</w:t>
      </w:r>
    </w:p>
    <w:p>
      <w:pPr>
        <w:pStyle w:val="Compact"/>
        <w:numPr>
          <w:ilvl w:val="0"/>
          <w:numId w:val="1030"/>
        </w:numPr>
      </w:pPr>
      <w:r>
        <w:t xml:space="preserve">LIMS or departmental field data where authorized.</w:t>
      </w:r>
    </w:p>
    <w:p>
      <w:pPr>
        <w:pStyle w:val="FirstParagraph"/>
      </w:pPr>
      <w:r>
        <w:t xml:space="preserve">Unreviewed websites must not automatically become authoritative sources.</w:t>
      </w:r>
    </w:p>
    <w:bookmarkEnd w:id="68"/>
    <w:bookmarkStart w:id="69" w:name="content-lifecycle"/>
    <w:p>
      <w:pPr>
        <w:pStyle w:val="Heading2"/>
      </w:pPr>
      <w:r>
        <w:t xml:space="preserve">11.2 Content lifecycle</w:t>
      </w:r>
    </w:p>
    <w:p>
      <w:pPr>
        <w:pStyle w:val="SourceCode"/>
      </w:pPr>
      <w:r>
        <w:rPr>
          <w:rStyle w:val="VerbatimChar"/>
        </w:rPr>
        <w:t xml:space="preserve">Source submission</w:t>
      </w:r>
      <w:r>
        <w:br/>
      </w:r>
      <w:r>
        <w:rPr>
          <w:rStyle w:val="VerbatimChar"/>
        </w:rPr>
        <w:t xml:space="preserve">    ↓</w:t>
      </w:r>
      <w:r>
        <w:br/>
      </w:r>
      <w:r>
        <w:rPr>
          <w:rStyle w:val="VerbatimChar"/>
        </w:rPr>
        <w:t xml:space="preserve">Agricultural review</w:t>
      </w:r>
      <w:r>
        <w:br/>
      </w:r>
      <w:r>
        <w:rPr>
          <w:rStyle w:val="VerbatimChar"/>
        </w:rPr>
        <w:t xml:space="preserve">    ↓</w:t>
      </w:r>
      <w:r>
        <w:br/>
      </w:r>
      <w:r>
        <w:rPr>
          <w:rStyle w:val="VerbatimChar"/>
        </w:rPr>
        <w:t xml:space="preserve">Legal/regulatory review where required</w:t>
      </w:r>
      <w:r>
        <w:br/>
      </w:r>
      <w:r>
        <w:rPr>
          <w:rStyle w:val="VerbatimChar"/>
        </w:rPr>
        <w:t xml:space="preserve">    ↓</w:t>
      </w:r>
      <w:r>
        <w:br/>
      </w:r>
      <w:r>
        <w:rPr>
          <w:rStyle w:val="VerbatimChar"/>
        </w:rPr>
        <w:t xml:space="preserve">Document classification</w:t>
      </w:r>
      <w:r>
        <w:br/>
      </w:r>
      <w:r>
        <w:rPr>
          <w:rStyle w:val="VerbatimChar"/>
        </w:rPr>
        <w:t xml:space="preserve">    ↓</w:t>
      </w:r>
      <w:r>
        <w:br/>
      </w:r>
      <w:r>
        <w:rPr>
          <w:rStyle w:val="VerbatimChar"/>
        </w:rPr>
        <w:t xml:space="preserve">Version and effective-date assignment</w:t>
      </w:r>
      <w:r>
        <w:br/>
      </w:r>
      <w:r>
        <w:rPr>
          <w:rStyle w:val="VerbatimChar"/>
        </w:rPr>
        <w:t xml:space="preserve">    ↓</w:t>
      </w:r>
      <w:r>
        <w:br/>
      </w:r>
      <w:r>
        <w:rPr>
          <w:rStyle w:val="VerbatimChar"/>
        </w:rPr>
        <w:t xml:space="preserve">Parsing and chunking</w:t>
      </w:r>
      <w:r>
        <w:br/>
      </w:r>
      <w:r>
        <w:rPr>
          <w:rStyle w:val="VerbatimChar"/>
        </w:rPr>
        <w:t xml:space="preserve">    ↓</w:t>
      </w:r>
      <w:r>
        <w:br/>
      </w:r>
      <w:r>
        <w:rPr>
          <w:rStyle w:val="VerbatimChar"/>
        </w:rPr>
        <w:t xml:space="preserve">Metadata enrichment</w:t>
      </w:r>
      <w:r>
        <w:br/>
      </w:r>
      <w:r>
        <w:rPr>
          <w:rStyle w:val="VerbatimChar"/>
        </w:rPr>
        <w:t xml:space="preserve">    ↓</w:t>
      </w:r>
      <w:r>
        <w:br/>
      </w:r>
      <w:r>
        <w:rPr>
          <w:rStyle w:val="VerbatimChar"/>
        </w:rPr>
        <w:t xml:space="preserve">Embedding and lexical indexing</w:t>
      </w:r>
      <w:r>
        <w:br/>
      </w:r>
      <w:r>
        <w:rPr>
          <w:rStyle w:val="VerbatimChar"/>
        </w:rPr>
        <w:t xml:space="preserve">    ↓</w:t>
      </w:r>
      <w:r>
        <w:br/>
      </w:r>
      <w:r>
        <w:rPr>
          <w:rStyle w:val="VerbatimChar"/>
        </w:rPr>
        <w:t xml:space="preserve">Quality check</w:t>
      </w:r>
      <w:r>
        <w:br/>
      </w:r>
      <w:r>
        <w:rPr>
          <w:rStyle w:val="VerbatimChar"/>
        </w:rPr>
        <w:t xml:space="preserve">    ↓</w:t>
      </w:r>
      <w:r>
        <w:br/>
      </w:r>
      <w:r>
        <w:rPr>
          <w:rStyle w:val="VerbatimChar"/>
        </w:rPr>
        <w:t xml:space="preserve">Publication</w:t>
      </w:r>
      <w:r>
        <w:br/>
      </w:r>
      <w:r>
        <w:rPr>
          <w:rStyle w:val="VerbatimChar"/>
        </w:rPr>
        <w:t xml:space="preserve">    ↓</w:t>
      </w:r>
      <w:r>
        <w:br/>
      </w:r>
      <w:r>
        <w:rPr>
          <w:rStyle w:val="VerbatimChar"/>
        </w:rPr>
        <w:t xml:space="preserve">Monitoring, expiry or withdrawal</w:t>
      </w:r>
    </w:p>
    <w:bookmarkEnd w:id="69"/>
    <w:bookmarkStart w:id="70" w:name="required-metadata"/>
    <w:p>
      <w:pPr>
        <w:pStyle w:val="Heading2"/>
      </w:pPr>
      <w:r>
        <w:t xml:space="preserve">11.3 Required metadata</w:t>
      </w:r>
    </w:p>
    <w:p>
      <w:pPr>
        <w:pStyle w:val="FirstParagraph"/>
      </w:pPr>
      <w:r>
        <w:t xml:space="preserve">Every chunk should include:</w:t>
      </w:r>
    </w:p>
    <w:p>
      <w:pPr>
        <w:pStyle w:val="Compact"/>
        <w:numPr>
          <w:ilvl w:val="0"/>
          <w:numId w:val="1031"/>
        </w:numPr>
      </w:pPr>
      <w:r>
        <w:t xml:space="preserve">source ID;</w:t>
      </w:r>
    </w:p>
    <w:p>
      <w:pPr>
        <w:pStyle w:val="Compact"/>
        <w:numPr>
          <w:ilvl w:val="0"/>
          <w:numId w:val="1031"/>
        </w:numPr>
      </w:pPr>
      <w:r>
        <w:t xml:space="preserve">document title;</w:t>
      </w:r>
    </w:p>
    <w:p>
      <w:pPr>
        <w:pStyle w:val="Compact"/>
        <w:numPr>
          <w:ilvl w:val="0"/>
          <w:numId w:val="1031"/>
        </w:numPr>
      </w:pPr>
      <w:r>
        <w:t xml:space="preserve">issuing authority;</w:t>
      </w:r>
    </w:p>
    <w:p>
      <w:pPr>
        <w:pStyle w:val="Compact"/>
        <w:numPr>
          <w:ilvl w:val="0"/>
          <w:numId w:val="1031"/>
        </w:numPr>
      </w:pPr>
      <w:r>
        <w:t xml:space="preserve">document version;</w:t>
      </w:r>
    </w:p>
    <w:p>
      <w:pPr>
        <w:pStyle w:val="Compact"/>
        <w:numPr>
          <w:ilvl w:val="0"/>
          <w:numId w:val="1031"/>
        </w:numPr>
      </w:pPr>
      <w:r>
        <w:t xml:space="preserve">effective date;</w:t>
      </w:r>
    </w:p>
    <w:p>
      <w:pPr>
        <w:pStyle w:val="Compact"/>
        <w:numPr>
          <w:ilvl w:val="0"/>
          <w:numId w:val="1031"/>
        </w:numPr>
      </w:pPr>
      <w:r>
        <w:t xml:space="preserve">expiry date;</w:t>
      </w:r>
    </w:p>
    <w:p>
      <w:pPr>
        <w:pStyle w:val="Compact"/>
        <w:numPr>
          <w:ilvl w:val="0"/>
          <w:numId w:val="1031"/>
        </w:numPr>
      </w:pPr>
      <w:r>
        <w:t xml:space="preserve">approval status;</w:t>
      </w:r>
    </w:p>
    <w:p>
      <w:pPr>
        <w:pStyle w:val="Compact"/>
        <w:numPr>
          <w:ilvl w:val="0"/>
          <w:numId w:val="1031"/>
        </w:numPr>
      </w:pPr>
      <w:r>
        <w:t xml:space="preserve">crop;</w:t>
      </w:r>
    </w:p>
    <w:p>
      <w:pPr>
        <w:pStyle w:val="Compact"/>
        <w:numPr>
          <w:ilvl w:val="0"/>
          <w:numId w:val="1031"/>
        </w:numPr>
      </w:pPr>
      <w:r>
        <w:t xml:space="preserve">crop variety;</w:t>
      </w:r>
    </w:p>
    <w:p>
      <w:pPr>
        <w:pStyle w:val="Compact"/>
        <w:numPr>
          <w:ilvl w:val="0"/>
          <w:numId w:val="1031"/>
        </w:numPr>
      </w:pPr>
      <w:r>
        <w:t xml:space="preserve">district or province;</w:t>
      </w:r>
    </w:p>
    <w:p>
      <w:pPr>
        <w:pStyle w:val="Compact"/>
        <w:numPr>
          <w:ilvl w:val="0"/>
          <w:numId w:val="1031"/>
        </w:numPr>
      </w:pPr>
      <w:r>
        <w:t xml:space="preserve">season;</w:t>
      </w:r>
    </w:p>
    <w:p>
      <w:pPr>
        <w:pStyle w:val="Compact"/>
        <w:numPr>
          <w:ilvl w:val="0"/>
          <w:numId w:val="1031"/>
        </w:numPr>
      </w:pPr>
      <w:r>
        <w:t xml:space="preserve">growth stage;</w:t>
      </w:r>
    </w:p>
    <w:p>
      <w:pPr>
        <w:pStyle w:val="Compact"/>
        <w:numPr>
          <w:ilvl w:val="0"/>
          <w:numId w:val="1031"/>
        </w:numPr>
      </w:pPr>
      <w:r>
        <w:t xml:space="preserve">pest or disease;</w:t>
      </w:r>
    </w:p>
    <w:p>
      <w:pPr>
        <w:pStyle w:val="Compact"/>
        <w:numPr>
          <w:ilvl w:val="0"/>
          <w:numId w:val="1031"/>
        </w:numPr>
      </w:pPr>
      <w:r>
        <w:t xml:space="preserve">active ingredient;</w:t>
      </w:r>
    </w:p>
    <w:p>
      <w:pPr>
        <w:pStyle w:val="Compact"/>
        <w:numPr>
          <w:ilvl w:val="0"/>
          <w:numId w:val="1031"/>
        </w:numPr>
      </w:pPr>
      <w:r>
        <w:t xml:space="preserve">document type;</w:t>
      </w:r>
    </w:p>
    <w:p>
      <w:pPr>
        <w:pStyle w:val="Compact"/>
        <w:numPr>
          <w:ilvl w:val="0"/>
          <w:numId w:val="1031"/>
        </w:numPr>
      </w:pPr>
      <w:r>
        <w:t xml:space="preserve">language;</w:t>
      </w:r>
    </w:p>
    <w:p>
      <w:pPr>
        <w:pStyle w:val="Compact"/>
        <w:numPr>
          <w:ilvl w:val="0"/>
          <w:numId w:val="1031"/>
        </w:numPr>
      </w:pPr>
      <w:r>
        <w:t xml:space="preserve">page or section;</w:t>
      </w:r>
    </w:p>
    <w:p>
      <w:pPr>
        <w:pStyle w:val="Compact"/>
        <w:numPr>
          <w:ilvl w:val="0"/>
          <w:numId w:val="1031"/>
        </w:numPr>
      </w:pPr>
      <w:r>
        <w:t xml:space="preserve">sensitivity classification.</w:t>
      </w:r>
    </w:p>
    <w:bookmarkEnd w:id="70"/>
    <w:bookmarkStart w:id="71" w:name="retrieval-design"/>
    <w:p>
      <w:pPr>
        <w:pStyle w:val="Heading2"/>
      </w:pPr>
      <w:r>
        <w:t xml:space="preserve">11.4 Retrieval design</w:t>
      </w:r>
    </w:p>
    <w:p>
      <w:pPr>
        <w:pStyle w:val="FirstParagraph"/>
      </w:pPr>
      <w:r>
        <w:t xml:space="preserve">Use hybrid retrieval:</w:t>
      </w:r>
    </w:p>
    <w:p>
      <w:pPr>
        <w:pStyle w:val="Compact"/>
        <w:numPr>
          <w:ilvl w:val="0"/>
          <w:numId w:val="1032"/>
        </w:numPr>
      </w:pPr>
      <w:r>
        <w:t xml:space="preserve">Metadata filtering.</w:t>
      </w:r>
    </w:p>
    <w:p>
      <w:pPr>
        <w:pStyle w:val="Compact"/>
        <w:numPr>
          <w:ilvl w:val="0"/>
          <w:numId w:val="1032"/>
        </w:numPr>
      </w:pPr>
      <w:r>
        <w:t xml:space="preserve">Dense vector search.</w:t>
      </w:r>
    </w:p>
    <w:p>
      <w:pPr>
        <w:pStyle w:val="Compact"/>
        <w:numPr>
          <w:ilvl w:val="0"/>
          <w:numId w:val="1032"/>
        </w:numPr>
      </w:pPr>
      <w:r>
        <w:t xml:space="preserve">Sparse or lexical search.</w:t>
      </w:r>
    </w:p>
    <w:p>
      <w:pPr>
        <w:pStyle w:val="Compact"/>
        <w:numPr>
          <w:ilvl w:val="0"/>
          <w:numId w:val="1032"/>
        </w:numPr>
      </w:pPr>
      <w:r>
        <w:t xml:space="preserve">Result fusion.</w:t>
      </w:r>
    </w:p>
    <w:p>
      <w:pPr>
        <w:pStyle w:val="Compact"/>
        <w:numPr>
          <w:ilvl w:val="0"/>
          <w:numId w:val="1032"/>
        </w:numPr>
      </w:pPr>
      <w:r>
        <w:t xml:space="preserve">Cross-encoder or LLM reranking.</w:t>
      </w:r>
    </w:p>
    <w:p>
      <w:pPr>
        <w:pStyle w:val="Compact"/>
        <w:numPr>
          <w:ilvl w:val="0"/>
          <w:numId w:val="1032"/>
        </w:numPr>
      </w:pPr>
      <w:r>
        <w:t xml:space="preserve">Source-authority weighting.</w:t>
      </w:r>
    </w:p>
    <w:p>
      <w:pPr>
        <w:pStyle w:val="Compact"/>
        <w:numPr>
          <w:ilvl w:val="0"/>
          <w:numId w:val="1032"/>
        </w:numPr>
      </w:pPr>
      <w:r>
        <w:t xml:space="preserve">Recency and effective-date checks.</w:t>
      </w:r>
    </w:p>
    <w:p>
      <w:pPr>
        <w:pStyle w:val="FirstParagraph"/>
      </w:pPr>
      <w:r>
        <w:t xml:space="preserve">Qdrant supports distributed operation, sharding and replication; production deployment requires explicit replication and load balancing rather than a single default node.</w:t>
      </w:r>
    </w:p>
    <w:bookmarkEnd w:id="71"/>
    <w:bookmarkStart w:id="72" w:name="embedding-model"/>
    <w:p>
      <w:pPr>
        <w:pStyle w:val="Heading2"/>
      </w:pPr>
      <w:r>
        <w:t xml:space="preserve">11.5 Embedding model</w:t>
      </w:r>
    </w:p>
    <w:p>
      <w:pPr>
        <w:pStyle w:val="FirstParagraph"/>
      </w:pPr>
      <w:r>
        <w:t xml:space="preserve">Benchmark at least:</w:t>
      </w:r>
    </w:p>
    <w:p>
      <w:pPr>
        <w:pStyle w:val="Compact"/>
        <w:numPr>
          <w:ilvl w:val="0"/>
          <w:numId w:val="1033"/>
        </w:numPr>
      </w:pPr>
      <w:r>
        <w:t xml:space="preserve">BGE-M3;</w:t>
      </w:r>
    </w:p>
    <w:p>
      <w:pPr>
        <w:pStyle w:val="Compact"/>
        <w:numPr>
          <w:ilvl w:val="0"/>
          <w:numId w:val="1033"/>
        </w:numPr>
      </w:pPr>
      <w:r>
        <w:t xml:space="preserve">a current Qwen embedding model;</w:t>
      </w:r>
    </w:p>
    <w:p>
      <w:pPr>
        <w:pStyle w:val="Compact"/>
        <w:numPr>
          <w:ilvl w:val="0"/>
          <w:numId w:val="1033"/>
        </w:numPr>
      </w:pPr>
      <w:r>
        <w:t xml:space="preserve">one managed multilingual embedding service.</w:t>
      </w:r>
    </w:p>
    <w:p>
      <w:pPr>
        <w:pStyle w:val="FirstParagraph"/>
      </w:pPr>
      <w:r>
        <w:t xml:space="preserve">Evaluation must include:</w:t>
      </w:r>
    </w:p>
    <w:p>
      <w:pPr>
        <w:pStyle w:val="Compact"/>
        <w:numPr>
          <w:ilvl w:val="0"/>
          <w:numId w:val="1034"/>
        </w:numPr>
      </w:pPr>
      <w:r>
        <w:t xml:space="preserve">Urdu script;</w:t>
      </w:r>
    </w:p>
    <w:p>
      <w:pPr>
        <w:pStyle w:val="Compact"/>
        <w:numPr>
          <w:ilvl w:val="0"/>
          <w:numId w:val="1034"/>
        </w:numPr>
      </w:pPr>
      <w:r>
        <w:t xml:space="preserve">Roman Urdu;</w:t>
      </w:r>
    </w:p>
    <w:p>
      <w:pPr>
        <w:pStyle w:val="Compact"/>
        <w:numPr>
          <w:ilvl w:val="0"/>
          <w:numId w:val="1034"/>
        </w:numPr>
      </w:pPr>
      <w:r>
        <w:t xml:space="preserve">English chemical names;</w:t>
      </w:r>
    </w:p>
    <w:p>
      <w:pPr>
        <w:pStyle w:val="Compact"/>
        <w:numPr>
          <w:ilvl w:val="0"/>
          <w:numId w:val="1034"/>
        </w:numPr>
      </w:pPr>
      <w:r>
        <w:t xml:space="preserve">transliterated trade names;</w:t>
      </w:r>
    </w:p>
    <w:p>
      <w:pPr>
        <w:pStyle w:val="Compact"/>
        <w:numPr>
          <w:ilvl w:val="0"/>
          <w:numId w:val="1034"/>
        </w:numPr>
      </w:pPr>
      <w:r>
        <w:t xml:space="preserve">exact active ingredients;</w:t>
      </w:r>
    </w:p>
    <w:p>
      <w:pPr>
        <w:pStyle w:val="Compact"/>
        <w:numPr>
          <w:ilvl w:val="0"/>
          <w:numId w:val="1034"/>
        </w:numPr>
      </w:pPr>
      <w:r>
        <w:t xml:space="preserve">abbreviations;</w:t>
      </w:r>
    </w:p>
    <w:p>
      <w:pPr>
        <w:pStyle w:val="Compact"/>
        <w:numPr>
          <w:ilvl w:val="0"/>
          <w:numId w:val="1034"/>
        </w:numPr>
      </w:pPr>
      <w:r>
        <w:t xml:space="preserve">district names;</w:t>
      </w:r>
    </w:p>
    <w:p>
      <w:pPr>
        <w:pStyle w:val="Compact"/>
        <w:numPr>
          <w:ilvl w:val="0"/>
          <w:numId w:val="1034"/>
        </w:numPr>
      </w:pPr>
      <w:r>
        <w:t xml:space="preserve">cross-language retrieval.</w:t>
      </w:r>
    </w:p>
    <w:bookmarkEnd w:id="72"/>
    <w:bookmarkStart w:id="73" w:name="citation-enforcement"/>
    <w:p>
      <w:pPr>
        <w:pStyle w:val="Heading2"/>
      </w:pPr>
      <w:r>
        <w:t xml:space="preserve">11.6 Citation enforcement</w:t>
      </w:r>
    </w:p>
    <w:p>
      <w:pPr>
        <w:pStyle w:val="FirstParagraph"/>
      </w:pPr>
      <w:r>
        <w:t xml:space="preserve">The answer generator must not make a source-dependent claim unless it can attach:</w:t>
      </w:r>
    </w:p>
    <w:p>
      <w:pPr>
        <w:pStyle w:val="Compact"/>
        <w:numPr>
          <w:ilvl w:val="0"/>
          <w:numId w:val="1035"/>
        </w:numPr>
      </w:pPr>
      <w:r>
        <w:t xml:space="preserve">source ID;</w:t>
      </w:r>
    </w:p>
    <w:p>
      <w:pPr>
        <w:pStyle w:val="Compact"/>
        <w:numPr>
          <w:ilvl w:val="0"/>
          <w:numId w:val="1035"/>
        </w:numPr>
      </w:pPr>
      <w:r>
        <w:t xml:space="preserve">document version;</w:t>
      </w:r>
    </w:p>
    <w:p>
      <w:pPr>
        <w:pStyle w:val="Compact"/>
        <w:numPr>
          <w:ilvl w:val="0"/>
          <w:numId w:val="1035"/>
        </w:numPr>
      </w:pPr>
      <w:r>
        <w:t xml:space="preserve">section or page;</w:t>
      </w:r>
    </w:p>
    <w:p>
      <w:pPr>
        <w:pStyle w:val="Compact"/>
        <w:numPr>
          <w:ilvl w:val="0"/>
          <w:numId w:val="1035"/>
        </w:numPr>
      </w:pPr>
      <w:r>
        <w:t xml:space="preserve">relevant policy-rule ID.</w:t>
      </w:r>
    </w:p>
    <w:p>
      <w:pPr>
        <w:pStyle w:val="FirstParagraph"/>
      </w:pPr>
      <w:r>
        <w:t xml:space="preserve">Where no approved source is found, the system should say so and escalate rather than improvise.</w:t>
      </w:r>
    </w:p>
    <w:p>
      <w:r>
        <w:pict>
          <v:rect style="width:0;height:1.5pt" o:hralign="center" o:hrstd="t" o:hr="t"/>
        </w:pict>
      </w:r>
    </w:p>
    <w:bookmarkEnd w:id="73"/>
    <w:bookmarkEnd w:id="74"/>
    <w:bookmarkStart w:id="79" w:name="deterministic-agricultural-policy-engine"/>
    <w:p>
      <w:pPr>
        <w:pStyle w:val="Heading1"/>
      </w:pPr>
      <w:r>
        <w:t xml:space="preserve">12. Deterministic agricultural policy engine</w:t>
      </w:r>
    </w:p>
    <w:p>
      <w:pPr>
        <w:pStyle w:val="FirstParagraph"/>
      </w:pPr>
      <w:r>
        <w:t xml:space="preserve">This is the most important addition beyond the original stack.</w:t>
      </w:r>
    </w:p>
    <w:bookmarkStart w:id="75" w:name="purpose"/>
    <w:p>
      <w:pPr>
        <w:pStyle w:val="Heading2"/>
      </w:pPr>
      <w:r>
        <w:t xml:space="preserve">12.1 Purpose</w:t>
      </w:r>
    </w:p>
    <w:p>
      <w:pPr>
        <w:pStyle w:val="FirstParagraph"/>
      </w:pPr>
      <w:r>
        <w:t xml:space="preserve">The policy engine should determine:</w:t>
      </w:r>
    </w:p>
    <w:p>
      <w:pPr>
        <w:pStyle w:val="Compact"/>
        <w:numPr>
          <w:ilvl w:val="0"/>
          <w:numId w:val="1036"/>
        </w:numPr>
      </w:pPr>
      <w:r>
        <w:t xml:space="preserve">whether a treatment is approved;</w:t>
      </w:r>
    </w:p>
    <w:p>
      <w:pPr>
        <w:pStyle w:val="Compact"/>
        <w:numPr>
          <w:ilvl w:val="0"/>
          <w:numId w:val="1036"/>
        </w:numPr>
      </w:pPr>
      <w:r>
        <w:t xml:space="preserve">whether the product is registered;</w:t>
      </w:r>
    </w:p>
    <w:p>
      <w:pPr>
        <w:pStyle w:val="Compact"/>
        <w:numPr>
          <w:ilvl w:val="0"/>
          <w:numId w:val="1036"/>
        </w:numPr>
      </w:pPr>
      <w:r>
        <w:t xml:space="preserve">crop applicability;</w:t>
      </w:r>
    </w:p>
    <w:p>
      <w:pPr>
        <w:pStyle w:val="Compact"/>
        <w:numPr>
          <w:ilvl w:val="0"/>
          <w:numId w:val="1036"/>
        </w:numPr>
      </w:pPr>
      <w:r>
        <w:t xml:space="preserve">pest or disease applicability;</w:t>
      </w:r>
    </w:p>
    <w:p>
      <w:pPr>
        <w:pStyle w:val="Compact"/>
        <w:numPr>
          <w:ilvl w:val="0"/>
          <w:numId w:val="1036"/>
        </w:numPr>
      </w:pPr>
      <w:r>
        <w:t xml:space="preserve">dose range;</w:t>
      </w:r>
    </w:p>
    <w:p>
      <w:pPr>
        <w:pStyle w:val="Compact"/>
        <w:numPr>
          <w:ilvl w:val="0"/>
          <w:numId w:val="1036"/>
        </w:numPr>
      </w:pPr>
      <w:r>
        <w:t xml:space="preserve">dilution instructions;</w:t>
      </w:r>
    </w:p>
    <w:p>
      <w:pPr>
        <w:pStyle w:val="Compact"/>
        <w:numPr>
          <w:ilvl w:val="0"/>
          <w:numId w:val="1036"/>
        </w:numPr>
      </w:pPr>
      <w:r>
        <w:t xml:space="preserve">maximum application frequency;</w:t>
      </w:r>
    </w:p>
    <w:p>
      <w:pPr>
        <w:pStyle w:val="Compact"/>
        <w:numPr>
          <w:ilvl w:val="0"/>
          <w:numId w:val="1036"/>
        </w:numPr>
      </w:pPr>
      <w:r>
        <w:t xml:space="preserve">minimum interval between applications;</w:t>
      </w:r>
    </w:p>
    <w:p>
      <w:pPr>
        <w:pStyle w:val="Compact"/>
        <w:numPr>
          <w:ilvl w:val="0"/>
          <w:numId w:val="1036"/>
        </w:numPr>
      </w:pPr>
      <w:r>
        <w:t xml:space="preserve">pre-harvest interval;</w:t>
      </w:r>
    </w:p>
    <w:p>
      <w:pPr>
        <w:pStyle w:val="Compact"/>
        <w:numPr>
          <w:ilvl w:val="0"/>
          <w:numId w:val="1036"/>
        </w:numPr>
      </w:pPr>
      <w:r>
        <w:t xml:space="preserve">re-entry interval;</w:t>
      </w:r>
    </w:p>
    <w:p>
      <w:pPr>
        <w:pStyle w:val="Compact"/>
        <w:numPr>
          <w:ilvl w:val="0"/>
          <w:numId w:val="1036"/>
        </w:numPr>
      </w:pPr>
      <w:r>
        <w:t xml:space="preserve">growth-stage restrictions;</w:t>
      </w:r>
    </w:p>
    <w:p>
      <w:pPr>
        <w:pStyle w:val="Compact"/>
        <w:numPr>
          <w:ilvl w:val="0"/>
          <w:numId w:val="1036"/>
        </w:numPr>
      </w:pPr>
      <w:r>
        <w:t xml:space="preserve">weather restrictions;</w:t>
      </w:r>
    </w:p>
    <w:p>
      <w:pPr>
        <w:pStyle w:val="Compact"/>
        <w:numPr>
          <w:ilvl w:val="0"/>
          <w:numId w:val="1036"/>
        </w:numPr>
      </w:pPr>
      <w:r>
        <w:t xml:space="preserve">incompatible products;</w:t>
      </w:r>
    </w:p>
    <w:p>
      <w:pPr>
        <w:pStyle w:val="Compact"/>
        <w:numPr>
          <w:ilvl w:val="0"/>
          <w:numId w:val="1036"/>
        </w:numPr>
      </w:pPr>
      <w:r>
        <w:t xml:space="preserve">regional restrictions;</w:t>
      </w:r>
    </w:p>
    <w:p>
      <w:pPr>
        <w:pStyle w:val="Compact"/>
        <w:numPr>
          <w:ilvl w:val="0"/>
          <w:numId w:val="1036"/>
        </w:numPr>
      </w:pPr>
      <w:r>
        <w:t xml:space="preserve">escalation requirements.</w:t>
      </w:r>
    </w:p>
    <w:bookmarkEnd w:id="75"/>
    <w:bookmarkStart w:id="76" w:name="rule-example"/>
    <w:p>
      <w:pPr>
        <w:pStyle w:val="Heading2"/>
      </w:pPr>
      <w:r>
        <w:t xml:space="preserve">12.2 Rule example</w:t>
      </w:r>
    </w:p>
    <w:p>
      <w:pPr>
        <w:pStyle w:val="SourceCode"/>
      </w:pPr>
      <w:r>
        <w:rPr>
          <w:rStyle w:val="FunctionTok"/>
        </w:rPr>
        <w:t xml:space="preserve">rule_id</w:t>
      </w:r>
      <w:r>
        <w:rPr>
          <w:rStyle w:val="KeywordTok"/>
        </w:rPr>
        <w:t xml:space="preserve">:</w:t>
      </w:r>
      <w:r>
        <w:rPr>
          <w:rStyle w:val="AttributeTok"/>
        </w:rPr>
        <w:t xml:space="preserve"> PK-PB-COTTON-WHITEFLY-ACETAMIPRID-2026-01</w:t>
      </w:r>
      <w:r>
        <w:br/>
      </w:r>
      <w:r>
        <w:rPr>
          <w:rStyle w:val="FunctionTok"/>
        </w:rPr>
        <w:t xml:space="preserve">status</w:t>
      </w:r>
      <w:r>
        <w:rPr>
          <w:rStyle w:val="KeywordTok"/>
        </w:rPr>
        <w:t xml:space="preserve">:</w:t>
      </w:r>
      <w:r>
        <w:rPr>
          <w:rStyle w:val="AttributeTok"/>
        </w:rPr>
        <w:t xml:space="preserve"> approved</w:t>
      </w:r>
      <w:r>
        <w:br/>
      </w:r>
      <w:r>
        <w:rPr>
          <w:rStyle w:val="FunctionTok"/>
        </w:rPr>
        <w:t xml:space="preserve">crop</w:t>
      </w:r>
      <w:r>
        <w:rPr>
          <w:rStyle w:val="KeywordTok"/>
        </w:rPr>
        <w:t xml:space="preserve">:</w:t>
      </w:r>
      <w:r>
        <w:rPr>
          <w:rStyle w:val="AttributeTok"/>
        </w:rPr>
        <w:t xml:space="preserve"> cotton</w:t>
      </w:r>
      <w:r>
        <w:br/>
      </w:r>
      <w:r>
        <w:rPr>
          <w:rStyle w:val="FunctionTok"/>
        </w:rPr>
        <w:t xml:space="preserve">target_condition</w:t>
      </w:r>
      <w:r>
        <w:rPr>
          <w:rStyle w:val="KeywordTok"/>
        </w:rPr>
        <w:t xml:space="preserve">:</w:t>
      </w:r>
      <w:r>
        <w:rPr>
          <w:rStyle w:val="AttributeTok"/>
        </w:rPr>
        <w:t xml:space="preserve"> whitefly</w:t>
      </w:r>
      <w:r>
        <w:br/>
      </w:r>
      <w:r>
        <w:rPr>
          <w:rStyle w:val="FunctionTok"/>
        </w:rPr>
        <w:t xml:space="preserve">active_ingredient</w:t>
      </w:r>
      <w:r>
        <w:rPr>
          <w:rStyle w:val="KeywordTok"/>
        </w:rPr>
        <w:t xml:space="preserve">:</w:t>
      </w:r>
      <w:r>
        <w:rPr>
          <w:rStyle w:val="AttributeTok"/>
        </w:rPr>
        <w:t xml:space="preserve"> acetamiprid</w:t>
      </w:r>
      <w:r>
        <w:br/>
      </w:r>
      <w:r>
        <w:rPr>
          <w:rStyle w:val="FunctionTok"/>
        </w:rPr>
        <w:t xml:space="preserve">formulation</w:t>
      </w:r>
      <w:r>
        <w:rPr>
          <w:rStyle w:val="KeywordTok"/>
        </w:rPr>
        <w:t xml:space="preserve">:</w:t>
      </w:r>
      <w:r>
        <w:rPr>
          <w:rStyle w:val="AttributeTok"/>
        </w:rPr>
        <w:t xml:space="preserve"> 20_SP</w:t>
      </w:r>
      <w:r>
        <w:br/>
      </w:r>
      <w:r>
        <w:rPr>
          <w:rStyle w:val="FunctionTok"/>
        </w:rPr>
        <w:t xml:space="preserve">dose</w:t>
      </w:r>
      <w:r>
        <w:rPr>
          <w:rStyle w:val="KeywordTok"/>
        </w:rPr>
        <w:t xml:space="preserve">:</w:t>
      </w:r>
      <w:r>
        <w:br/>
      </w:r>
      <w:r>
        <w:rPr>
          <w:rStyle w:val="AttributeTok"/>
        </w:rPr>
        <w:t xml:space="preserve">  </w:t>
      </w:r>
      <w:r>
        <w:rPr>
          <w:rStyle w:val="FunctionTok"/>
        </w:rPr>
        <w:t xml:space="preserve">minimum_per_acre</w:t>
      </w:r>
      <w:r>
        <w:rPr>
          <w:rStyle w:val="KeywordTok"/>
        </w:rPr>
        <w:t xml:space="preserve">:</w:t>
      </w:r>
      <w:r>
        <w:rPr>
          <w:rStyle w:val="AttributeTok"/>
        </w:rPr>
        <w:t xml:space="preserve"> </w:t>
      </w:r>
      <w:r>
        <w:rPr>
          <w:rStyle w:val="DecValTok"/>
        </w:rPr>
        <w:t xml:space="preserve">100</w:t>
      </w:r>
      <w:r>
        <w:br/>
      </w:r>
      <w:r>
        <w:rPr>
          <w:rStyle w:val="AttributeTok"/>
        </w:rPr>
        <w:t xml:space="preserve">  </w:t>
      </w:r>
      <w:r>
        <w:rPr>
          <w:rStyle w:val="FunctionTok"/>
        </w:rPr>
        <w:t xml:space="preserve">maximum_per_acre</w:t>
      </w:r>
      <w:r>
        <w:rPr>
          <w:rStyle w:val="KeywordTok"/>
        </w:rPr>
        <w:t xml:space="preserve">:</w:t>
      </w:r>
      <w:r>
        <w:rPr>
          <w:rStyle w:val="AttributeTok"/>
        </w:rPr>
        <w:t xml:space="preserve"> </w:t>
      </w:r>
      <w:r>
        <w:rPr>
          <w:rStyle w:val="DecValTok"/>
        </w:rPr>
        <w:t xml:space="preserve">125</w:t>
      </w:r>
      <w:r>
        <w:br/>
      </w:r>
      <w:r>
        <w:rPr>
          <w:rStyle w:val="AttributeTok"/>
        </w:rPr>
        <w:t xml:space="preserve">  </w:t>
      </w:r>
      <w:r>
        <w:rPr>
          <w:rStyle w:val="FunctionTok"/>
        </w:rPr>
        <w:t xml:space="preserve">unit</w:t>
      </w:r>
      <w:r>
        <w:rPr>
          <w:rStyle w:val="KeywordTok"/>
        </w:rPr>
        <w:t xml:space="preserve">:</w:t>
      </w:r>
      <w:r>
        <w:rPr>
          <w:rStyle w:val="AttributeTok"/>
        </w:rPr>
        <w:t xml:space="preserve"> grams</w:t>
      </w:r>
      <w:r>
        <w:br/>
      </w:r>
      <w:r>
        <w:rPr>
          <w:rStyle w:val="FunctionTok"/>
        </w:rPr>
        <w:t xml:space="preserve">max_applications_per_season</w:t>
      </w:r>
      <w:r>
        <w:rPr>
          <w:rStyle w:val="KeywordTok"/>
        </w:rPr>
        <w:t xml:space="preserve">:</w:t>
      </w:r>
      <w:r>
        <w:rPr>
          <w:rStyle w:val="AttributeTok"/>
        </w:rPr>
        <w:t xml:space="preserve"> </w:t>
      </w:r>
      <w:r>
        <w:rPr>
          <w:rStyle w:val="DecValTok"/>
        </w:rPr>
        <w:t xml:space="preserve">2</w:t>
      </w:r>
      <w:r>
        <w:br/>
      </w:r>
      <w:r>
        <w:rPr>
          <w:rStyle w:val="FunctionTok"/>
        </w:rPr>
        <w:t xml:space="preserve">minimum_interval_days</w:t>
      </w:r>
      <w:r>
        <w:rPr>
          <w:rStyle w:val="KeywordTok"/>
        </w:rPr>
        <w:t xml:space="preserve">:</w:t>
      </w:r>
      <w:r>
        <w:rPr>
          <w:rStyle w:val="AttributeTok"/>
        </w:rPr>
        <w:t xml:space="preserve"> </w:t>
      </w:r>
      <w:r>
        <w:rPr>
          <w:rStyle w:val="DecValTok"/>
        </w:rPr>
        <w:t xml:space="preserve">14</w:t>
      </w:r>
      <w:r>
        <w:br/>
      </w:r>
      <w:r>
        <w:rPr>
          <w:rStyle w:val="FunctionTok"/>
        </w:rPr>
        <w:t xml:space="preserve">pre_harvest_interval_days</w:t>
      </w:r>
      <w:r>
        <w:rPr>
          <w:rStyle w:val="KeywordTok"/>
        </w:rPr>
        <w:t xml:space="preserve">:</w:t>
      </w:r>
      <w:r>
        <w:rPr>
          <w:rStyle w:val="AttributeTok"/>
        </w:rPr>
        <w:t xml:space="preserve"> </w:t>
      </w:r>
      <w:r>
        <w:rPr>
          <w:rStyle w:val="DecValTok"/>
        </w:rPr>
        <w:t xml:space="preserve">21</w:t>
      </w:r>
      <w:r>
        <w:br/>
      </w:r>
      <w:r>
        <w:rPr>
          <w:rStyle w:val="FunctionTok"/>
        </w:rPr>
        <w:t xml:space="preserve">prohibited_if</w:t>
      </w:r>
      <w:r>
        <w:rPr>
          <w:rStyle w:val="KeywordTok"/>
        </w:rPr>
        <w:t xml:space="preserve">:</w:t>
      </w:r>
      <w:r>
        <w:br/>
      </w:r>
      <w:r>
        <w:rPr>
          <w:rStyle w:val="AttributeTok"/>
        </w:rPr>
        <w:t xml:space="preserve">  </w:t>
      </w:r>
      <w:r>
        <w:rPr>
          <w:rStyle w:val="KeywordTok"/>
        </w:rPr>
        <w:t xml:space="preserve">-</w:t>
      </w:r>
      <w:r>
        <w:rPr>
          <w:rStyle w:val="AttributeTok"/>
        </w:rPr>
        <w:t xml:space="preserve"> previous_application_within_minimum_interval</w:t>
      </w:r>
      <w:r>
        <w:br/>
      </w:r>
      <w:r>
        <w:rPr>
          <w:rStyle w:val="AttributeTok"/>
        </w:rPr>
        <w:t xml:space="preserve">  </w:t>
      </w:r>
      <w:r>
        <w:rPr>
          <w:rStyle w:val="KeywordTok"/>
        </w:rPr>
        <w:t xml:space="preserve">-</w:t>
      </w:r>
      <w:r>
        <w:rPr>
          <w:rStyle w:val="AttributeTok"/>
        </w:rPr>
        <w:t xml:space="preserve"> unconfirmed_crop</w:t>
      </w:r>
      <w:r>
        <w:br/>
      </w:r>
      <w:r>
        <w:rPr>
          <w:rStyle w:val="AttributeTok"/>
        </w:rPr>
        <w:t xml:space="preserve">  </w:t>
      </w:r>
      <w:r>
        <w:rPr>
          <w:rStyle w:val="KeywordTok"/>
        </w:rPr>
        <w:t xml:space="preserve">-</w:t>
      </w:r>
      <w:r>
        <w:rPr>
          <w:rStyle w:val="AttributeTok"/>
        </w:rPr>
        <w:t xml:space="preserve"> active_ingredient_not_confirmed</w:t>
      </w:r>
      <w:r>
        <w:br/>
      </w:r>
      <w:r>
        <w:rPr>
          <w:rStyle w:val="FunctionTok"/>
        </w:rPr>
        <w:t xml:space="preserve">effective_from</w:t>
      </w:r>
      <w:r>
        <w:rPr>
          <w:rStyle w:val="KeywordTok"/>
        </w:rPr>
        <w:t xml:space="preserve">:</w:t>
      </w:r>
      <w:r>
        <w:rPr>
          <w:rStyle w:val="AttributeTok"/>
        </w:rPr>
        <w:t xml:space="preserve"> 2026-01-01</w:t>
      </w:r>
      <w:r>
        <w:br/>
      </w:r>
      <w:r>
        <w:rPr>
          <w:rStyle w:val="FunctionTok"/>
        </w:rPr>
        <w:t xml:space="preserve">effective_to</w:t>
      </w:r>
      <w:r>
        <w:rPr>
          <w:rStyle w:val="KeywordTok"/>
        </w:rPr>
        <w:t xml:space="preserve">:</w:t>
      </w:r>
      <w:r>
        <w:rPr>
          <w:rStyle w:val="AttributeTok"/>
        </w:rPr>
        <w:t xml:space="preserve"> 2026-12-31</w:t>
      </w:r>
      <w:r>
        <w:br/>
      </w:r>
      <w:r>
        <w:rPr>
          <w:rStyle w:val="FunctionTok"/>
        </w:rPr>
        <w:t xml:space="preserve">approval_authority</w:t>
      </w:r>
      <w:r>
        <w:rPr>
          <w:rStyle w:val="KeywordTok"/>
        </w:rPr>
        <w:t xml:space="preserve">:</w:t>
      </w:r>
      <w:r>
        <w:rPr>
          <w:rStyle w:val="AttributeTok"/>
        </w:rPr>
        <w:t xml:space="preserve"> Punjab Agriculture Department</w:t>
      </w:r>
    </w:p>
    <w:p>
      <w:pPr>
        <w:pStyle w:val="FirstParagraph"/>
      </w:pPr>
      <w:r>
        <w:t xml:space="preserve">The figures above are illustrative placeholders and must not be treated as agricultural advice.</w:t>
      </w:r>
    </w:p>
    <w:bookmarkEnd w:id="76"/>
    <w:bookmarkStart w:id="77" w:name="calculation-controls"/>
    <w:p>
      <w:pPr>
        <w:pStyle w:val="Heading2"/>
      </w:pPr>
      <w:r>
        <w:t xml:space="preserve">12.3 Calculation controls</w:t>
      </w:r>
    </w:p>
    <w:p>
      <w:pPr>
        <w:pStyle w:val="FirstParagraph"/>
      </w:pPr>
      <w:r>
        <w:t xml:space="preserve">All dose and dilution calculations must be performed by deterministic code using:</w:t>
      </w:r>
    </w:p>
    <w:p>
      <w:pPr>
        <w:pStyle w:val="Compact"/>
        <w:numPr>
          <w:ilvl w:val="0"/>
          <w:numId w:val="1037"/>
        </w:numPr>
      </w:pPr>
      <w:r>
        <w:t xml:space="preserve">validated field area;</w:t>
      </w:r>
    </w:p>
    <w:p>
      <w:pPr>
        <w:pStyle w:val="Compact"/>
        <w:numPr>
          <w:ilvl w:val="0"/>
          <w:numId w:val="1037"/>
        </w:numPr>
      </w:pPr>
      <w:r>
        <w:t xml:space="preserve">approved units;</w:t>
      </w:r>
    </w:p>
    <w:p>
      <w:pPr>
        <w:pStyle w:val="Compact"/>
        <w:numPr>
          <w:ilvl w:val="0"/>
          <w:numId w:val="1037"/>
        </w:numPr>
      </w:pPr>
      <w:r>
        <w:t xml:space="preserve">concentration;</w:t>
      </w:r>
    </w:p>
    <w:p>
      <w:pPr>
        <w:pStyle w:val="Compact"/>
        <w:numPr>
          <w:ilvl w:val="0"/>
          <w:numId w:val="1037"/>
        </w:numPr>
      </w:pPr>
      <w:r>
        <w:t xml:space="preserve">formulation;</w:t>
      </w:r>
    </w:p>
    <w:p>
      <w:pPr>
        <w:pStyle w:val="Compact"/>
        <w:numPr>
          <w:ilvl w:val="0"/>
          <w:numId w:val="1037"/>
        </w:numPr>
      </w:pPr>
      <w:r>
        <w:t xml:space="preserve">approved rule.</w:t>
      </w:r>
    </w:p>
    <w:p>
      <w:pPr>
        <w:pStyle w:val="FirstParagraph"/>
      </w:pPr>
      <w:r>
        <w:t xml:space="preserve">The language model should verbalize the result but not calculate it independently.</w:t>
      </w:r>
    </w:p>
    <w:bookmarkEnd w:id="77"/>
    <w:bookmarkStart w:id="78" w:name="rule-approval"/>
    <w:p>
      <w:pPr>
        <w:pStyle w:val="Heading2"/>
      </w:pPr>
      <w:r>
        <w:t xml:space="preserve">12.4 Rule approval</w:t>
      </w:r>
    </w:p>
    <w:p>
      <w:pPr>
        <w:pStyle w:val="FirstParagraph"/>
      </w:pPr>
      <w:r>
        <w:t xml:space="preserve">Every rule change requires:</w:t>
      </w:r>
    </w:p>
    <w:p>
      <w:pPr>
        <w:pStyle w:val="Compact"/>
        <w:numPr>
          <w:ilvl w:val="0"/>
          <w:numId w:val="1038"/>
        </w:numPr>
      </w:pPr>
      <w:r>
        <w:t xml:space="preserve">agronomist approval;</w:t>
      </w:r>
    </w:p>
    <w:p>
      <w:pPr>
        <w:pStyle w:val="Compact"/>
        <w:numPr>
          <w:ilvl w:val="0"/>
          <w:numId w:val="1038"/>
        </w:numPr>
      </w:pPr>
      <w:r>
        <w:t xml:space="preserve">regulatory approval where applicable;</w:t>
      </w:r>
    </w:p>
    <w:p>
      <w:pPr>
        <w:pStyle w:val="Compact"/>
        <w:numPr>
          <w:ilvl w:val="0"/>
          <w:numId w:val="1038"/>
        </w:numPr>
      </w:pPr>
      <w:r>
        <w:t xml:space="preserve">versioning;</w:t>
      </w:r>
    </w:p>
    <w:p>
      <w:pPr>
        <w:pStyle w:val="Compact"/>
        <w:numPr>
          <w:ilvl w:val="0"/>
          <w:numId w:val="1038"/>
        </w:numPr>
      </w:pPr>
      <w:r>
        <w:t xml:space="preserve">effective date;</w:t>
      </w:r>
    </w:p>
    <w:p>
      <w:pPr>
        <w:pStyle w:val="Compact"/>
        <w:numPr>
          <w:ilvl w:val="0"/>
          <w:numId w:val="1038"/>
        </w:numPr>
      </w:pPr>
      <w:r>
        <w:t xml:space="preserve">test cases;</w:t>
      </w:r>
    </w:p>
    <w:p>
      <w:pPr>
        <w:pStyle w:val="Compact"/>
        <w:numPr>
          <w:ilvl w:val="0"/>
          <w:numId w:val="1038"/>
        </w:numPr>
      </w:pPr>
      <w:r>
        <w:t xml:space="preserve">rollback capability;</w:t>
      </w:r>
    </w:p>
    <w:p>
      <w:pPr>
        <w:pStyle w:val="Compact"/>
        <w:numPr>
          <w:ilvl w:val="0"/>
          <w:numId w:val="1038"/>
        </w:numPr>
      </w:pPr>
      <w:r>
        <w:t xml:space="preserve">digital audit record.</w:t>
      </w:r>
    </w:p>
    <w:p>
      <w:r>
        <w:pict>
          <v:rect style="width:0;height:1.5pt" o:hralign="center" o:hrstd="t" o:hr="t"/>
        </w:pict>
      </w:r>
    </w:p>
    <w:bookmarkEnd w:id="78"/>
    <w:bookmarkEnd w:id="79"/>
    <w:bookmarkStart w:id="83" w:name="Xfdf705822585f61632bf909cb49f0e9a2cae6ea"/>
    <w:p>
      <w:pPr>
        <w:pStyle w:val="Heading1"/>
      </w:pPr>
      <w:r>
        <w:t xml:space="preserve">13. Confidence, safety and escalation framework</w:t>
      </w:r>
    </w:p>
    <w:bookmarkStart w:id="80" w:name="separate-confidence-dimensions"/>
    <w:p>
      <w:pPr>
        <w:pStyle w:val="Heading2"/>
      </w:pPr>
      <w:r>
        <w:t xml:space="preserve">13.1 Separate confidence dimensions</w:t>
      </w:r>
    </w:p>
    <w:p>
      <w:pPr>
        <w:pStyle w:val="FirstParagraph"/>
      </w:pPr>
      <w:r>
        <w:t xml:space="preserve">Do not use one model-provided percentage as the final confidence.</w:t>
      </w:r>
    </w:p>
    <w:p>
      <w:pPr>
        <w:pStyle w:val="BodyText"/>
      </w:pPr>
      <w:r>
        <w:t xml:space="preserve">Calculate a composite decision from:</w:t>
      </w:r>
    </w:p>
    <w:p>
      <w:pPr>
        <w:pStyle w:val="Compact"/>
        <w:numPr>
          <w:ilvl w:val="0"/>
          <w:numId w:val="1039"/>
        </w:numPr>
      </w:pPr>
      <w:r>
        <w:t xml:space="preserve">STT confidence;</w:t>
      </w:r>
    </w:p>
    <w:p>
      <w:pPr>
        <w:pStyle w:val="Compact"/>
        <w:numPr>
          <w:ilvl w:val="0"/>
          <w:numId w:val="1039"/>
        </w:numPr>
      </w:pPr>
      <w:r>
        <w:t xml:space="preserve">entity confidence;</w:t>
      </w:r>
    </w:p>
    <w:p>
      <w:pPr>
        <w:pStyle w:val="Compact"/>
        <w:numPr>
          <w:ilvl w:val="0"/>
          <w:numId w:val="1039"/>
        </w:numPr>
      </w:pPr>
      <w:r>
        <w:t xml:space="preserve">image-quality score;</w:t>
      </w:r>
    </w:p>
    <w:p>
      <w:pPr>
        <w:pStyle w:val="Compact"/>
        <w:numPr>
          <w:ilvl w:val="0"/>
          <w:numId w:val="1039"/>
        </w:numPr>
      </w:pPr>
      <w:r>
        <w:t xml:space="preserve">visual-model confidence;</w:t>
      </w:r>
    </w:p>
    <w:p>
      <w:pPr>
        <w:pStyle w:val="Compact"/>
        <w:numPr>
          <w:ilvl w:val="0"/>
          <w:numId w:val="1039"/>
        </w:numPr>
      </w:pPr>
      <w:r>
        <w:t xml:space="preserve">retrieval support;</w:t>
      </w:r>
    </w:p>
    <w:p>
      <w:pPr>
        <w:pStyle w:val="Compact"/>
        <w:numPr>
          <w:ilvl w:val="0"/>
          <w:numId w:val="1039"/>
        </w:numPr>
      </w:pPr>
      <w:r>
        <w:t xml:space="preserve">policy-rule availability;</w:t>
      </w:r>
    </w:p>
    <w:p>
      <w:pPr>
        <w:pStyle w:val="Compact"/>
        <w:numPr>
          <w:ilvl w:val="0"/>
          <w:numId w:val="1039"/>
        </w:numPr>
      </w:pPr>
      <w:r>
        <w:t xml:space="preserve">agreement among evidence sources;</w:t>
      </w:r>
    </w:p>
    <w:p>
      <w:pPr>
        <w:pStyle w:val="Compact"/>
        <w:numPr>
          <w:ilvl w:val="0"/>
          <w:numId w:val="1039"/>
        </w:numPr>
      </w:pPr>
      <w:r>
        <w:t xml:space="preserve">conflict with field history;</w:t>
      </w:r>
    </w:p>
    <w:p>
      <w:pPr>
        <w:pStyle w:val="Compact"/>
        <w:numPr>
          <w:ilvl w:val="0"/>
          <w:numId w:val="1039"/>
        </w:numPr>
      </w:pPr>
      <w:r>
        <w:t xml:space="preserve">known model-risk category.</w:t>
      </w:r>
    </w:p>
    <w:bookmarkEnd w:id="80"/>
    <w:bookmarkStart w:id="81" w:name="example-action-matrix"/>
    <w:p>
      <w:pPr>
        <w:pStyle w:val="Heading2"/>
      </w:pPr>
      <w:r>
        <w:t xml:space="preserve">13.2 Example action matrix</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Condition</w:t>
            </w:r>
          </w:p>
        </w:tc>
        <w:tc>
          <w:tcPr/>
          <w:p>
            <w:pPr>
              <w:pStyle w:val="Compact"/>
            </w:pPr>
            <w:r>
              <w:t xml:space="preserve">Action</w:t>
            </w:r>
          </w:p>
        </w:tc>
      </w:tr>
      <w:tr>
        <w:tc>
          <w:tcPr/>
          <w:p>
            <w:pPr>
              <w:pStyle w:val="Compact"/>
            </w:pPr>
            <w:r>
              <w:t xml:space="preserve">High visual confidence, approved source and low-risk advice</w:t>
            </w:r>
          </w:p>
        </w:tc>
        <w:tc>
          <w:tcPr/>
          <w:p>
            <w:pPr>
              <w:pStyle w:val="Compact"/>
            </w:pPr>
            <w:r>
              <w:t xml:space="preserve">Provide answer</w:t>
            </w:r>
          </w:p>
        </w:tc>
      </w:tr>
      <w:tr>
        <w:tc>
          <w:tcPr/>
          <w:p>
            <w:pPr>
              <w:pStyle w:val="Compact"/>
            </w:pPr>
            <w:r>
              <w:t xml:space="preserve">Good image but diagnosis alternatives remain close</w:t>
            </w:r>
          </w:p>
        </w:tc>
        <w:tc>
          <w:tcPr/>
          <w:p>
            <w:pPr>
              <w:pStyle w:val="Compact"/>
            </w:pPr>
            <w:r>
              <w:t xml:space="preserve">Ask targeted follow-up</w:t>
            </w:r>
          </w:p>
        </w:tc>
      </w:tr>
      <w:tr>
        <w:tc>
          <w:tcPr/>
          <w:p>
            <w:pPr>
              <w:pStyle w:val="Compact"/>
            </w:pPr>
            <w:r>
              <w:t xml:space="preserve">Poor image quality</w:t>
            </w:r>
          </w:p>
        </w:tc>
        <w:tc>
          <w:tcPr/>
          <w:p>
            <w:pPr>
              <w:pStyle w:val="Compact"/>
            </w:pPr>
            <w:r>
              <w:t xml:space="preserve">Request another image</w:t>
            </w:r>
          </w:p>
        </w:tc>
      </w:tr>
      <w:tr>
        <w:tc>
          <w:tcPr/>
          <w:p>
            <w:pPr>
              <w:pStyle w:val="Compact"/>
            </w:pPr>
            <w:r>
              <w:t xml:space="preserve">Chemical name uncertain</w:t>
            </w:r>
          </w:p>
        </w:tc>
        <w:tc>
          <w:tcPr/>
          <w:p>
            <w:pPr>
              <w:pStyle w:val="Compact"/>
            </w:pPr>
            <w:r>
              <w:t xml:space="preserve">Ask farmer to confirm</w:t>
            </w:r>
          </w:p>
        </w:tc>
      </w:tr>
      <w:tr>
        <w:tc>
          <w:tcPr/>
          <w:p>
            <w:pPr>
              <w:pStyle w:val="Compact"/>
            </w:pPr>
            <w:r>
              <w:t xml:space="preserve">No approved policy rule</w:t>
            </w:r>
          </w:p>
        </w:tc>
        <w:tc>
          <w:tcPr/>
          <w:p>
            <w:pPr>
              <w:pStyle w:val="Compact"/>
            </w:pPr>
            <w:r>
              <w:t xml:space="preserve">Do not provide dosage</w:t>
            </w:r>
          </w:p>
        </w:tc>
      </w:tr>
      <w:tr>
        <w:tc>
          <w:tcPr/>
          <w:p>
            <w:pPr>
              <w:pStyle w:val="Compact"/>
            </w:pPr>
            <w:r>
              <w:t xml:space="preserve">High-risk treatment</w:t>
            </w:r>
          </w:p>
        </w:tc>
        <w:tc>
          <w:tcPr/>
          <w:p>
            <w:pPr>
              <w:pStyle w:val="Compact"/>
            </w:pPr>
            <w:r>
              <w:t xml:space="preserve">Require field-officer approval</w:t>
            </w:r>
          </w:p>
        </w:tc>
      </w:tr>
      <w:tr>
        <w:tc>
          <w:tcPr/>
          <w:p>
            <w:pPr>
              <w:pStyle w:val="Compact"/>
            </w:pPr>
            <w:r>
              <w:t xml:space="preserve">Model and retrieved sources conflict</w:t>
            </w:r>
          </w:p>
        </w:tc>
        <w:tc>
          <w:tcPr/>
          <w:p>
            <w:pPr>
              <w:pStyle w:val="Compact"/>
            </w:pPr>
            <w:r>
              <w:t xml:space="preserve">Escalate</w:t>
            </w:r>
          </w:p>
        </w:tc>
      </w:tr>
      <w:tr>
        <w:tc>
          <w:tcPr/>
          <w:p>
            <w:pPr>
              <w:pStyle w:val="Compact"/>
            </w:pPr>
            <w:r>
              <w:t xml:space="preserve">Suspected outbreak or quarantine condition</w:t>
            </w:r>
          </w:p>
        </w:tc>
        <w:tc>
          <w:tcPr/>
          <w:p>
            <w:pPr>
              <w:pStyle w:val="Compact"/>
            </w:pPr>
            <w:r>
              <w:t xml:space="preserve">Immediate departmental alert</w:t>
            </w:r>
          </w:p>
        </w:tc>
      </w:tr>
      <w:tr>
        <w:tc>
          <w:tcPr/>
          <w:p>
            <w:pPr>
              <w:pStyle w:val="Compact"/>
            </w:pPr>
            <w:r>
              <w:t xml:space="preserve">Human health exposure</w:t>
            </w:r>
          </w:p>
        </w:tc>
        <w:tc>
          <w:tcPr/>
          <w:p>
            <w:pPr>
              <w:pStyle w:val="Compact"/>
            </w:pPr>
            <w:r>
              <w:t xml:space="preserve">Direct to appropriate emergency process</w:t>
            </w:r>
          </w:p>
        </w:tc>
      </w:tr>
      <w:tr>
        <w:tc>
          <w:tcPr/>
          <w:p>
            <w:pPr>
              <w:pStyle w:val="Compact"/>
            </w:pPr>
            <w:r>
              <w:t xml:space="preserve">Repeated failed diagnosis</w:t>
            </w:r>
          </w:p>
        </w:tc>
        <w:tc>
          <w:tcPr/>
          <w:p>
            <w:pPr>
              <w:pStyle w:val="Compact"/>
            </w:pPr>
            <w:r>
              <w:t xml:space="preserve">Create officer case</w:t>
            </w:r>
          </w:p>
        </w:tc>
      </w:tr>
    </w:tbl>
    <w:bookmarkEnd w:id="81"/>
    <w:bookmarkStart w:id="82" w:name="response-language"/>
    <w:p>
      <w:pPr>
        <w:pStyle w:val="Heading2"/>
      </w:pPr>
      <w:r>
        <w:t xml:space="preserve">13.3 Response language</w:t>
      </w:r>
    </w:p>
    <w:p>
      <w:pPr>
        <w:pStyle w:val="FirstParagraph"/>
      </w:pPr>
      <w:r>
        <w:t xml:space="preserve">The platform must avoid false certainty.</w:t>
      </w:r>
    </w:p>
    <w:p>
      <w:pPr>
        <w:pStyle w:val="BodyText"/>
      </w:pPr>
      <w:r>
        <w:t xml:space="preserve">Use:</w:t>
      </w:r>
    </w:p>
    <w:p>
      <w:pPr>
        <w:pStyle w:val="Compact"/>
        <w:numPr>
          <w:ilvl w:val="0"/>
          <w:numId w:val="1040"/>
        </w:numPr>
      </w:pPr>
      <w:r>
        <w:t xml:space="preserve">“ممکنہ طور پر”</w:t>
      </w:r>
    </w:p>
    <w:p>
      <w:pPr>
        <w:pStyle w:val="Compact"/>
        <w:numPr>
          <w:ilvl w:val="0"/>
          <w:numId w:val="1040"/>
        </w:numPr>
      </w:pPr>
      <w:r>
        <w:t xml:space="preserve">“تصویر سے یہ علامات نظر آ رہی ہیں”</w:t>
      </w:r>
    </w:p>
    <w:p>
      <w:pPr>
        <w:pStyle w:val="Compact"/>
        <w:numPr>
          <w:ilvl w:val="0"/>
          <w:numId w:val="1040"/>
        </w:numPr>
      </w:pPr>
      <w:r>
        <w:t xml:space="preserve">“تصدیق کے لیے ایک اور واضح تصویر درکار ہے”</w:t>
      </w:r>
    </w:p>
    <w:p>
      <w:pPr>
        <w:pStyle w:val="Compact"/>
        <w:numPr>
          <w:ilvl w:val="0"/>
          <w:numId w:val="1040"/>
        </w:numPr>
      </w:pPr>
      <w:r>
        <w:t xml:space="preserve">“اس مرحلے پر دوا کی مقدار بتانا محفوظ نہیں”</w:t>
      </w:r>
    </w:p>
    <w:p>
      <w:pPr>
        <w:pStyle w:val="Compact"/>
        <w:numPr>
          <w:ilvl w:val="0"/>
          <w:numId w:val="1040"/>
        </w:numPr>
      </w:pPr>
      <w:r>
        <w:t xml:space="preserve">“یہ کیس فیلڈ افسر کو بھیجا جا رہا ہے”</w:t>
      </w:r>
    </w:p>
    <w:p>
      <w:pPr>
        <w:pStyle w:val="FirstParagraph"/>
      </w:pPr>
      <w:r>
        <w:t xml:space="preserve">Avoid:</w:t>
      </w:r>
    </w:p>
    <w:p>
      <w:pPr>
        <w:pStyle w:val="Compact"/>
        <w:numPr>
          <w:ilvl w:val="0"/>
          <w:numId w:val="1041"/>
        </w:numPr>
      </w:pPr>
      <w:r>
        <w:t xml:space="preserve">“یہ بیماری یقینی طور پر یہی ہے”</w:t>
      </w:r>
    </w:p>
    <w:p>
      <w:pPr>
        <w:pStyle w:val="Compact"/>
        <w:numPr>
          <w:ilvl w:val="0"/>
          <w:numId w:val="1041"/>
        </w:numPr>
      </w:pPr>
      <w:r>
        <w:t xml:space="preserve">“یہ سپرے لازماً کریں”</w:t>
      </w:r>
    </w:p>
    <w:p>
      <w:pPr>
        <w:pStyle w:val="Compact"/>
        <w:numPr>
          <w:ilvl w:val="0"/>
          <w:numId w:val="1041"/>
        </w:numPr>
      </w:pPr>
      <w:r>
        <w:t xml:space="preserve">“اس سے فصل مکمل ٹھیک ہو جائے گی”</w:t>
      </w:r>
    </w:p>
    <w:p>
      <w:r>
        <w:pict>
          <v:rect style="width:0;height:1.5pt" o:hralign="center" o:hrstd="t" o:hr="t"/>
        </w:pict>
      </w:r>
    </w:p>
    <w:bookmarkEnd w:id="82"/>
    <w:bookmarkEnd w:id="83"/>
    <w:bookmarkStart w:id="89" w:name="data-architecture"/>
    <w:p>
      <w:pPr>
        <w:pStyle w:val="Heading1"/>
      </w:pPr>
      <w:r>
        <w:t xml:space="preserve">14. Data architecture</w:t>
      </w:r>
    </w:p>
    <w:bookmarkStart w:id="84" w:name="postgresqlpostgis"/>
    <w:p>
      <w:pPr>
        <w:pStyle w:val="Heading2"/>
      </w:pPr>
      <w:r>
        <w:t xml:space="preserve">14.1 PostgreSQL/PostGIS</w:t>
      </w:r>
    </w:p>
    <w:p>
      <w:pPr>
        <w:pStyle w:val="FirstParagraph"/>
      </w:pPr>
      <w:r>
        <w:t xml:space="preserve">Store:</w:t>
      </w:r>
    </w:p>
    <w:p>
      <w:pPr>
        <w:pStyle w:val="Compact"/>
        <w:numPr>
          <w:ilvl w:val="0"/>
          <w:numId w:val="1042"/>
        </w:numPr>
      </w:pPr>
      <w:r>
        <w:t xml:space="preserve">farmer profile;</w:t>
      </w:r>
    </w:p>
    <w:p>
      <w:pPr>
        <w:pStyle w:val="Compact"/>
        <w:numPr>
          <w:ilvl w:val="0"/>
          <w:numId w:val="1042"/>
        </w:numPr>
      </w:pPr>
      <w:r>
        <w:t xml:space="preserve">consent state;</w:t>
      </w:r>
    </w:p>
    <w:p>
      <w:pPr>
        <w:pStyle w:val="Compact"/>
        <w:numPr>
          <w:ilvl w:val="0"/>
          <w:numId w:val="1042"/>
        </w:numPr>
      </w:pPr>
      <w:r>
        <w:t xml:space="preserve">farm and field boundaries;</w:t>
      </w:r>
    </w:p>
    <w:p>
      <w:pPr>
        <w:pStyle w:val="Compact"/>
        <w:numPr>
          <w:ilvl w:val="0"/>
          <w:numId w:val="1042"/>
        </w:numPr>
      </w:pPr>
      <w:r>
        <w:t xml:space="preserve">crop cycle;</w:t>
      </w:r>
    </w:p>
    <w:p>
      <w:pPr>
        <w:pStyle w:val="Compact"/>
        <w:numPr>
          <w:ilvl w:val="0"/>
          <w:numId w:val="1042"/>
        </w:numPr>
      </w:pPr>
      <w:r>
        <w:t xml:space="preserve">treatment history;</w:t>
      </w:r>
    </w:p>
    <w:p>
      <w:pPr>
        <w:pStyle w:val="Compact"/>
        <w:numPr>
          <w:ilvl w:val="0"/>
          <w:numId w:val="1042"/>
        </w:numPr>
      </w:pPr>
      <w:r>
        <w:t xml:space="preserve">diagnosis cases;</w:t>
      </w:r>
    </w:p>
    <w:p>
      <w:pPr>
        <w:pStyle w:val="Compact"/>
        <w:numPr>
          <w:ilvl w:val="0"/>
          <w:numId w:val="1042"/>
        </w:numPr>
      </w:pPr>
      <w:r>
        <w:t xml:space="preserve">officer assignments;</w:t>
      </w:r>
    </w:p>
    <w:p>
      <w:pPr>
        <w:pStyle w:val="Compact"/>
        <w:numPr>
          <w:ilvl w:val="0"/>
          <w:numId w:val="1042"/>
        </w:numPr>
      </w:pPr>
      <w:r>
        <w:t xml:space="preserve">feedback;</w:t>
      </w:r>
    </w:p>
    <w:p>
      <w:pPr>
        <w:pStyle w:val="Compact"/>
        <w:numPr>
          <w:ilvl w:val="0"/>
          <w:numId w:val="1042"/>
        </w:numPr>
      </w:pPr>
      <w:r>
        <w:t xml:space="preserve">policy metadata;</w:t>
      </w:r>
    </w:p>
    <w:p>
      <w:pPr>
        <w:pStyle w:val="Compact"/>
        <w:numPr>
          <w:ilvl w:val="0"/>
          <w:numId w:val="1042"/>
        </w:numPr>
      </w:pPr>
      <w:r>
        <w:t xml:space="preserve">model registry;</w:t>
      </w:r>
    </w:p>
    <w:p>
      <w:pPr>
        <w:pStyle w:val="Compact"/>
        <w:numPr>
          <w:ilvl w:val="0"/>
          <w:numId w:val="1042"/>
        </w:numPr>
      </w:pPr>
      <w:r>
        <w:t xml:space="preserve">audit references.</w:t>
      </w:r>
    </w:p>
    <w:bookmarkEnd w:id="84"/>
    <w:bookmarkStart w:id="85" w:name="qdrant"/>
    <w:p>
      <w:pPr>
        <w:pStyle w:val="Heading2"/>
      </w:pPr>
      <w:r>
        <w:t xml:space="preserve">14.2 Qdrant</w:t>
      </w:r>
    </w:p>
    <w:p>
      <w:pPr>
        <w:pStyle w:val="FirstParagraph"/>
      </w:pPr>
      <w:r>
        <w:t xml:space="preserve">Store:</w:t>
      </w:r>
    </w:p>
    <w:p>
      <w:pPr>
        <w:pStyle w:val="Compact"/>
        <w:numPr>
          <w:ilvl w:val="0"/>
          <w:numId w:val="1043"/>
        </w:numPr>
      </w:pPr>
      <w:r>
        <w:t xml:space="preserve">approved document embeddings;</w:t>
      </w:r>
    </w:p>
    <w:p>
      <w:pPr>
        <w:pStyle w:val="Compact"/>
        <w:numPr>
          <w:ilvl w:val="0"/>
          <w:numId w:val="1043"/>
        </w:numPr>
      </w:pPr>
      <w:r>
        <w:t xml:space="preserve">sparse representations where used;</w:t>
      </w:r>
    </w:p>
    <w:p>
      <w:pPr>
        <w:pStyle w:val="Compact"/>
        <w:numPr>
          <w:ilvl w:val="0"/>
          <w:numId w:val="1043"/>
        </w:numPr>
      </w:pPr>
      <w:r>
        <w:t xml:space="preserve">source metadata;</w:t>
      </w:r>
    </w:p>
    <w:p>
      <w:pPr>
        <w:pStyle w:val="Compact"/>
        <w:numPr>
          <w:ilvl w:val="0"/>
          <w:numId w:val="1043"/>
        </w:numPr>
      </w:pPr>
      <w:r>
        <w:t xml:space="preserve">chunk-level authority and effective-date fields.</w:t>
      </w:r>
    </w:p>
    <w:bookmarkEnd w:id="85"/>
    <w:bookmarkStart w:id="86" w:name="object-storage"/>
    <w:p>
      <w:pPr>
        <w:pStyle w:val="Heading2"/>
      </w:pPr>
      <w:r>
        <w:t xml:space="preserve">14.3 Object storage</w:t>
      </w:r>
    </w:p>
    <w:p>
      <w:pPr>
        <w:pStyle w:val="FirstParagraph"/>
      </w:pPr>
      <w:r>
        <w:t xml:space="preserve">Use government-controlled S3-compatible storage such as MinIO or an approved equivalent for:</w:t>
      </w:r>
    </w:p>
    <w:p>
      <w:pPr>
        <w:pStyle w:val="Compact"/>
        <w:numPr>
          <w:ilvl w:val="0"/>
          <w:numId w:val="1044"/>
        </w:numPr>
      </w:pPr>
      <w:r>
        <w:t xml:space="preserve">images;</w:t>
      </w:r>
    </w:p>
    <w:p>
      <w:pPr>
        <w:pStyle w:val="Compact"/>
        <w:numPr>
          <w:ilvl w:val="0"/>
          <w:numId w:val="1044"/>
        </w:numPr>
      </w:pPr>
      <w:r>
        <w:t xml:space="preserve">short videos;</w:t>
      </w:r>
    </w:p>
    <w:p>
      <w:pPr>
        <w:pStyle w:val="Compact"/>
        <w:numPr>
          <w:ilvl w:val="0"/>
          <w:numId w:val="1044"/>
        </w:numPr>
      </w:pPr>
      <w:r>
        <w:t xml:space="preserve">audio where retention is authorized;</w:t>
      </w:r>
    </w:p>
    <w:p>
      <w:pPr>
        <w:pStyle w:val="Compact"/>
        <w:numPr>
          <w:ilvl w:val="0"/>
          <w:numId w:val="1044"/>
        </w:numPr>
      </w:pPr>
      <w:r>
        <w:t xml:space="preserve">source documents;</w:t>
      </w:r>
    </w:p>
    <w:p>
      <w:pPr>
        <w:pStyle w:val="Compact"/>
        <w:numPr>
          <w:ilvl w:val="0"/>
          <w:numId w:val="1044"/>
        </w:numPr>
      </w:pPr>
      <w:r>
        <w:t xml:space="preserve">evaluation datasets;</w:t>
      </w:r>
    </w:p>
    <w:p>
      <w:pPr>
        <w:pStyle w:val="Compact"/>
        <w:numPr>
          <w:ilvl w:val="0"/>
          <w:numId w:val="1044"/>
        </w:numPr>
      </w:pPr>
      <w:r>
        <w:t xml:space="preserve">model artefacts;</w:t>
      </w:r>
    </w:p>
    <w:p>
      <w:pPr>
        <w:pStyle w:val="Compact"/>
        <w:numPr>
          <w:ilvl w:val="0"/>
          <w:numId w:val="1044"/>
        </w:numPr>
      </w:pPr>
      <w:r>
        <w:t xml:space="preserve">snapshots.</w:t>
      </w:r>
    </w:p>
    <w:bookmarkEnd w:id="86"/>
    <w:bookmarkStart w:id="87" w:name="redis"/>
    <w:p>
      <w:pPr>
        <w:pStyle w:val="Heading2"/>
      </w:pPr>
      <w:r>
        <w:t xml:space="preserve">14.4 Redis</w:t>
      </w:r>
    </w:p>
    <w:p>
      <w:pPr>
        <w:pStyle w:val="FirstParagraph"/>
      </w:pPr>
      <w:r>
        <w:t xml:space="preserve">Use for:</w:t>
      </w:r>
    </w:p>
    <w:p>
      <w:pPr>
        <w:pStyle w:val="Compact"/>
        <w:numPr>
          <w:ilvl w:val="0"/>
          <w:numId w:val="1045"/>
        </w:numPr>
      </w:pPr>
      <w:r>
        <w:t xml:space="preserve">LiveKit clustering;</w:t>
      </w:r>
    </w:p>
    <w:p>
      <w:pPr>
        <w:pStyle w:val="Compact"/>
        <w:numPr>
          <w:ilvl w:val="0"/>
          <w:numId w:val="1045"/>
        </w:numPr>
      </w:pPr>
      <w:r>
        <w:t xml:space="preserve">ephemeral session coordination;</w:t>
      </w:r>
    </w:p>
    <w:p>
      <w:pPr>
        <w:pStyle w:val="Compact"/>
        <w:numPr>
          <w:ilvl w:val="0"/>
          <w:numId w:val="1045"/>
        </w:numPr>
      </w:pPr>
      <w:r>
        <w:t xml:space="preserve">rate limits;</w:t>
      </w:r>
    </w:p>
    <w:p>
      <w:pPr>
        <w:pStyle w:val="Compact"/>
        <w:numPr>
          <w:ilvl w:val="0"/>
          <w:numId w:val="1045"/>
        </w:numPr>
      </w:pPr>
      <w:r>
        <w:t xml:space="preserve">transient cache;</w:t>
      </w:r>
    </w:p>
    <w:p>
      <w:pPr>
        <w:pStyle w:val="Compact"/>
        <w:numPr>
          <w:ilvl w:val="0"/>
          <w:numId w:val="1045"/>
        </w:numPr>
      </w:pPr>
      <w:r>
        <w:t xml:space="preserve">short-lived workflow locks.</w:t>
      </w:r>
    </w:p>
    <w:p>
      <w:pPr>
        <w:pStyle w:val="FirstParagraph"/>
      </w:pPr>
      <w:r>
        <w:t xml:space="preserve">Do not use Redis as the authoritative audit store.</w:t>
      </w:r>
    </w:p>
    <w:bookmarkEnd w:id="87"/>
    <w:bookmarkStart w:id="88" w:name="event-platform"/>
    <w:p>
      <w:pPr>
        <w:pStyle w:val="Heading2"/>
      </w:pPr>
      <w:r>
        <w:t xml:space="preserve">14.5 Event platform</w:t>
      </w:r>
    </w:p>
    <w:p>
      <w:pPr>
        <w:pStyle w:val="FirstParagraph"/>
      </w:pPr>
      <w:r>
        <w:t xml:space="preserve">Use Kafka, Redpanda or an approved equivalent for:</w:t>
      </w:r>
    </w:p>
    <w:p>
      <w:pPr>
        <w:pStyle w:val="Compact"/>
        <w:numPr>
          <w:ilvl w:val="0"/>
          <w:numId w:val="1046"/>
        </w:numPr>
      </w:pPr>
      <w:r>
        <w:t xml:space="preserve">audit events;</w:t>
      </w:r>
    </w:p>
    <w:p>
      <w:pPr>
        <w:pStyle w:val="Compact"/>
        <w:numPr>
          <w:ilvl w:val="0"/>
          <w:numId w:val="1046"/>
        </w:numPr>
      </w:pPr>
      <w:r>
        <w:t xml:space="preserve">outbreak-signal events;</w:t>
      </w:r>
    </w:p>
    <w:p>
      <w:pPr>
        <w:pStyle w:val="Compact"/>
        <w:numPr>
          <w:ilvl w:val="0"/>
          <w:numId w:val="1046"/>
        </w:numPr>
      </w:pPr>
      <w:r>
        <w:t xml:space="preserve">analytics ingestion;</w:t>
      </w:r>
    </w:p>
    <w:p>
      <w:pPr>
        <w:pStyle w:val="Compact"/>
        <w:numPr>
          <w:ilvl w:val="0"/>
          <w:numId w:val="1046"/>
        </w:numPr>
      </w:pPr>
      <w:r>
        <w:t xml:space="preserve">asynchronous officer notifications;</w:t>
      </w:r>
    </w:p>
    <w:p>
      <w:pPr>
        <w:pStyle w:val="Compact"/>
        <w:numPr>
          <w:ilvl w:val="0"/>
          <w:numId w:val="1046"/>
        </w:numPr>
      </w:pPr>
      <w:r>
        <w:t xml:space="preserve">document-indexing jobs;</w:t>
      </w:r>
    </w:p>
    <w:p>
      <w:pPr>
        <w:pStyle w:val="Compact"/>
        <w:numPr>
          <w:ilvl w:val="0"/>
          <w:numId w:val="1046"/>
        </w:numPr>
      </w:pPr>
      <w:r>
        <w:t xml:space="preserve">model-evaluation events.</w:t>
      </w:r>
    </w:p>
    <w:p>
      <w:r>
        <w:pict>
          <v:rect style="width:0;height:1.5pt" o:hralign="center" o:hrstd="t" o:hr="t"/>
        </w:pict>
      </w:r>
    </w:p>
    <w:bookmarkEnd w:id="88"/>
    <w:bookmarkEnd w:id="89"/>
    <w:bookmarkStart w:id="97" w:name="scalability-and-availability-plan"/>
    <w:p>
      <w:pPr>
        <w:pStyle w:val="Heading1"/>
      </w:pPr>
      <w:r>
        <w:t xml:space="preserve">15. Scalability and availability plan</w:t>
      </w:r>
    </w:p>
    <w:bookmarkStart w:id="90" w:name="separate-scaling-domains"/>
    <w:p>
      <w:pPr>
        <w:pStyle w:val="Heading2"/>
      </w:pPr>
      <w:r>
        <w:t xml:space="preserve">15.1 Separate scaling domains</w:t>
      </w:r>
    </w:p>
    <w:p>
      <w:pPr>
        <w:pStyle w:val="FirstParagraph"/>
      </w:pPr>
      <w:r>
        <w:t xml:space="preserve">Scale these independently:</w:t>
      </w:r>
    </w:p>
    <w:p>
      <w:pPr>
        <w:pStyle w:val="Compact"/>
        <w:numPr>
          <w:ilvl w:val="0"/>
          <w:numId w:val="1047"/>
        </w:numPr>
      </w:pPr>
      <w:r>
        <w:t xml:space="preserve">LiveKit media nodes;</w:t>
      </w:r>
    </w:p>
    <w:p>
      <w:pPr>
        <w:pStyle w:val="Compact"/>
        <w:numPr>
          <w:ilvl w:val="0"/>
          <w:numId w:val="1047"/>
        </w:numPr>
      </w:pPr>
      <w:r>
        <w:t xml:space="preserve">agent workers;</w:t>
      </w:r>
    </w:p>
    <w:p>
      <w:pPr>
        <w:pStyle w:val="Compact"/>
        <w:numPr>
          <w:ilvl w:val="0"/>
          <w:numId w:val="1047"/>
        </w:numPr>
      </w:pPr>
      <w:r>
        <w:t xml:space="preserve">STT connections;</w:t>
      </w:r>
    </w:p>
    <w:p>
      <w:pPr>
        <w:pStyle w:val="Compact"/>
        <w:numPr>
          <w:ilvl w:val="0"/>
          <w:numId w:val="1047"/>
        </w:numPr>
      </w:pPr>
      <w:r>
        <w:t xml:space="preserve">TTS workers;</w:t>
      </w:r>
    </w:p>
    <w:p>
      <w:pPr>
        <w:pStyle w:val="Compact"/>
        <w:numPr>
          <w:ilvl w:val="0"/>
          <w:numId w:val="1047"/>
        </w:numPr>
      </w:pPr>
      <w:r>
        <w:t xml:space="preserve">multimodal model requests;</w:t>
      </w:r>
    </w:p>
    <w:p>
      <w:pPr>
        <w:pStyle w:val="Compact"/>
        <w:numPr>
          <w:ilvl w:val="0"/>
          <w:numId w:val="1047"/>
        </w:numPr>
      </w:pPr>
      <w:r>
        <w:t xml:space="preserve">local GPU inference;</w:t>
      </w:r>
    </w:p>
    <w:p>
      <w:pPr>
        <w:pStyle w:val="Compact"/>
        <w:numPr>
          <w:ilvl w:val="0"/>
          <w:numId w:val="1047"/>
        </w:numPr>
      </w:pPr>
      <w:r>
        <w:t xml:space="preserve">RAG queries;</w:t>
      </w:r>
    </w:p>
    <w:p>
      <w:pPr>
        <w:pStyle w:val="Compact"/>
        <w:numPr>
          <w:ilvl w:val="0"/>
          <w:numId w:val="1047"/>
        </w:numPr>
      </w:pPr>
      <w:r>
        <w:t xml:space="preserve">PostgreSQL;</w:t>
      </w:r>
    </w:p>
    <w:p>
      <w:pPr>
        <w:pStyle w:val="Compact"/>
        <w:numPr>
          <w:ilvl w:val="0"/>
          <w:numId w:val="1047"/>
        </w:numPr>
      </w:pPr>
      <w:r>
        <w:t xml:space="preserve">object storage;</w:t>
      </w:r>
    </w:p>
    <w:p>
      <w:pPr>
        <w:pStyle w:val="Compact"/>
        <w:numPr>
          <w:ilvl w:val="0"/>
          <w:numId w:val="1047"/>
        </w:numPr>
      </w:pPr>
      <w:r>
        <w:t xml:space="preserve">analytics workers.</w:t>
      </w:r>
    </w:p>
    <w:bookmarkEnd w:id="90"/>
    <w:bookmarkStart w:id="91" w:name="production-topology"/>
    <w:p>
      <w:pPr>
        <w:pStyle w:val="Heading2"/>
      </w:pPr>
      <w:r>
        <w:t xml:space="preserve">15.2 Production topology</w:t>
      </w:r>
    </w:p>
    <w:p>
      <w:pPr>
        <w:pStyle w:val="SourceCode"/>
      </w:pPr>
      <w:r>
        <w:rPr>
          <w:rStyle w:val="VerbatimChar"/>
        </w:rPr>
        <w:t xml:space="preserve">External/Internal Load Balancers</w:t>
      </w:r>
      <w:r>
        <w:br/>
      </w:r>
      <w:r>
        <w:rPr>
          <w:rStyle w:val="VerbatimChar"/>
        </w:rPr>
        <w:t xml:space="preserve">        │</w:t>
      </w:r>
      <w:r>
        <w:br/>
      </w:r>
      <w:r>
        <w:rPr>
          <w:rStyle w:val="VerbatimChar"/>
        </w:rPr>
        <w:t xml:space="preserve">        ├── LiveKit media cluster</w:t>
      </w:r>
      <w:r>
        <w:br/>
      </w:r>
      <w:r>
        <w:rPr>
          <w:rStyle w:val="VerbatimChar"/>
        </w:rPr>
        <w:t xml:space="preserve">        │     ├── Node 1</w:t>
      </w:r>
      <w:r>
        <w:br/>
      </w:r>
      <w:r>
        <w:rPr>
          <w:rStyle w:val="VerbatimChar"/>
        </w:rPr>
        <w:t xml:space="preserve">        │     ├── Node 2</w:t>
      </w:r>
      <w:r>
        <w:br/>
      </w:r>
      <w:r>
        <w:rPr>
          <w:rStyle w:val="VerbatimChar"/>
        </w:rPr>
        <w:t xml:space="preserve">        │     └── Node 3+</w:t>
      </w:r>
      <w:r>
        <w:br/>
      </w:r>
      <w:r>
        <w:rPr>
          <w:rStyle w:val="VerbatimChar"/>
        </w:rPr>
        <w:t xml:space="preserve">        │</w:t>
      </w:r>
      <w:r>
        <w:br/>
      </w:r>
      <w:r>
        <w:rPr>
          <w:rStyle w:val="VerbatimChar"/>
        </w:rPr>
        <w:t xml:space="preserve">        ├── Realtime agent worker pool</w:t>
      </w:r>
      <w:r>
        <w:br/>
      </w:r>
      <w:r>
        <w:rPr>
          <w:rStyle w:val="VerbatimChar"/>
        </w:rPr>
        <w:t xml:space="preserve">        ├── API/control-plane pool</w:t>
      </w:r>
      <w:r>
        <w:br/>
      </w:r>
      <w:r>
        <w:rPr>
          <w:rStyle w:val="VerbatimChar"/>
        </w:rPr>
        <w:t xml:space="preserve">        ├── LangGraph worker pool</w:t>
      </w:r>
      <w:r>
        <w:br/>
      </w:r>
      <w:r>
        <w:rPr>
          <w:rStyle w:val="VerbatimChar"/>
        </w:rPr>
        <w:t xml:space="preserve">        ├── Model gateway pool</w:t>
      </w:r>
      <w:r>
        <w:br/>
      </w:r>
      <w:r>
        <w:rPr>
          <w:rStyle w:val="VerbatimChar"/>
        </w:rPr>
        <w:t xml:space="preserve">        ├── RAG service pool</w:t>
      </w:r>
      <w:r>
        <w:br/>
      </w:r>
      <w:r>
        <w:rPr>
          <w:rStyle w:val="VerbatimChar"/>
        </w:rPr>
        <w:t xml:space="preserve">        └── Policy-engine pool</w:t>
      </w:r>
    </w:p>
    <w:p>
      <w:pPr>
        <w:pStyle w:val="FirstParagraph"/>
      </w:pPr>
      <w:r>
        <w:t xml:space="preserve">For Kubernetes deployment, LiveKit requires direct network access through host networking and a Redis instance; its WebRTC networking requirements must be designed into the cluster rather than treated as a standard stateless web deployment.</w:t>
      </w:r>
    </w:p>
    <w:bookmarkEnd w:id="91"/>
    <w:bookmarkStart w:id="94" w:name="recommended-availability-baseline"/>
    <w:p>
      <w:pPr>
        <w:pStyle w:val="Heading2"/>
      </w:pPr>
      <w:r>
        <w:t xml:space="preserve">15.3 Recommended availability baseline</w:t>
      </w:r>
    </w:p>
    <w:bookmarkStart w:id="92" w:name="pilot"/>
    <w:p>
      <w:pPr>
        <w:pStyle w:val="Heading3"/>
      </w:pPr>
      <w:r>
        <w:t xml:space="preserve">Pilot</w:t>
      </w:r>
    </w:p>
    <w:p>
      <w:pPr>
        <w:pStyle w:val="Compact"/>
        <w:numPr>
          <w:ilvl w:val="0"/>
          <w:numId w:val="1048"/>
        </w:numPr>
      </w:pPr>
      <w:r>
        <w:t xml:space="preserve">two LiveKit nodes where infrastructure permits;</w:t>
      </w:r>
    </w:p>
    <w:p>
      <w:pPr>
        <w:pStyle w:val="Compact"/>
        <w:numPr>
          <w:ilvl w:val="0"/>
          <w:numId w:val="1048"/>
        </w:numPr>
      </w:pPr>
      <w:r>
        <w:t xml:space="preserve">Redis with replication;</w:t>
      </w:r>
    </w:p>
    <w:p>
      <w:pPr>
        <w:pStyle w:val="Compact"/>
        <w:numPr>
          <w:ilvl w:val="0"/>
          <w:numId w:val="1048"/>
        </w:numPr>
      </w:pPr>
      <w:r>
        <w:t xml:space="preserve">two agent-worker instances;</w:t>
      </w:r>
    </w:p>
    <w:p>
      <w:pPr>
        <w:pStyle w:val="Compact"/>
        <w:numPr>
          <w:ilvl w:val="0"/>
          <w:numId w:val="1048"/>
        </w:numPr>
      </w:pPr>
      <w:r>
        <w:t xml:space="preserve">two API instances;</w:t>
      </w:r>
    </w:p>
    <w:p>
      <w:pPr>
        <w:pStyle w:val="Compact"/>
        <w:numPr>
          <w:ilvl w:val="0"/>
          <w:numId w:val="1048"/>
        </w:numPr>
      </w:pPr>
      <w:r>
        <w:t xml:space="preserve">PostgreSQL primary plus backup/standby;</w:t>
      </w:r>
    </w:p>
    <w:p>
      <w:pPr>
        <w:pStyle w:val="Compact"/>
        <w:numPr>
          <w:ilvl w:val="0"/>
          <w:numId w:val="1048"/>
        </w:numPr>
      </w:pPr>
      <w:r>
        <w:t xml:space="preserve">Qdrant with tested snapshots;</w:t>
      </w:r>
    </w:p>
    <w:p>
      <w:pPr>
        <w:pStyle w:val="Compact"/>
        <w:numPr>
          <w:ilvl w:val="0"/>
          <w:numId w:val="1048"/>
        </w:numPr>
      </w:pPr>
      <w:r>
        <w:t xml:space="preserve">object-storage replication;</w:t>
      </w:r>
    </w:p>
    <w:p>
      <w:pPr>
        <w:pStyle w:val="Compact"/>
        <w:numPr>
          <w:ilvl w:val="0"/>
          <w:numId w:val="1048"/>
        </w:numPr>
      </w:pPr>
      <w:r>
        <w:t xml:space="preserve">daily backup validation.</w:t>
      </w:r>
    </w:p>
    <w:bookmarkEnd w:id="92"/>
    <w:bookmarkStart w:id="93" w:name="production"/>
    <w:p>
      <w:pPr>
        <w:pStyle w:val="Heading3"/>
      </w:pPr>
      <w:r>
        <w:t xml:space="preserve">Production</w:t>
      </w:r>
    </w:p>
    <w:p>
      <w:pPr>
        <w:pStyle w:val="Compact"/>
        <w:numPr>
          <w:ilvl w:val="0"/>
          <w:numId w:val="1049"/>
        </w:numPr>
      </w:pPr>
      <w:r>
        <w:t xml:space="preserve">minimum three failure domains where available;</w:t>
      </w:r>
    </w:p>
    <w:p>
      <w:pPr>
        <w:pStyle w:val="Compact"/>
        <w:numPr>
          <w:ilvl w:val="0"/>
          <w:numId w:val="1049"/>
        </w:numPr>
      </w:pPr>
      <w:r>
        <w:t xml:space="preserve">three or more LiveKit nodes;</w:t>
      </w:r>
    </w:p>
    <w:p>
      <w:pPr>
        <w:pStyle w:val="Compact"/>
        <w:numPr>
          <w:ilvl w:val="0"/>
          <w:numId w:val="1049"/>
        </w:numPr>
      </w:pPr>
      <w:r>
        <w:t xml:space="preserve">Redis Sentinel or cluster;</w:t>
      </w:r>
    </w:p>
    <w:p>
      <w:pPr>
        <w:pStyle w:val="Compact"/>
        <w:numPr>
          <w:ilvl w:val="0"/>
          <w:numId w:val="1049"/>
        </w:numPr>
      </w:pPr>
      <w:r>
        <w:t xml:space="preserve">autoscaled agent workers;</w:t>
      </w:r>
    </w:p>
    <w:p>
      <w:pPr>
        <w:pStyle w:val="Compact"/>
        <w:numPr>
          <w:ilvl w:val="0"/>
          <w:numId w:val="1049"/>
        </w:numPr>
      </w:pPr>
      <w:r>
        <w:t xml:space="preserve">PostgreSQL HA with automatic failover;</w:t>
      </w:r>
    </w:p>
    <w:p>
      <w:pPr>
        <w:pStyle w:val="Compact"/>
        <w:numPr>
          <w:ilvl w:val="0"/>
          <w:numId w:val="1049"/>
        </w:numPr>
      </w:pPr>
      <w:r>
        <w:t xml:space="preserve">at least three Qdrant nodes with replication factor two;</w:t>
      </w:r>
    </w:p>
    <w:p>
      <w:pPr>
        <w:pStyle w:val="Compact"/>
        <w:numPr>
          <w:ilvl w:val="0"/>
          <w:numId w:val="1049"/>
        </w:numPr>
      </w:pPr>
      <w:r>
        <w:t xml:space="preserve">redundant object storage;</w:t>
      </w:r>
    </w:p>
    <w:p>
      <w:pPr>
        <w:pStyle w:val="Compact"/>
        <w:numPr>
          <w:ilvl w:val="0"/>
          <w:numId w:val="1049"/>
        </w:numPr>
      </w:pPr>
      <w:r>
        <w:t xml:space="preserve">redundant ingress and TURN;</w:t>
      </w:r>
    </w:p>
    <w:p>
      <w:pPr>
        <w:pStyle w:val="Compact"/>
        <w:numPr>
          <w:ilvl w:val="0"/>
          <w:numId w:val="1049"/>
        </w:numPr>
      </w:pPr>
      <w:r>
        <w:t xml:space="preserve">disaster-recovery environment;</w:t>
      </w:r>
    </w:p>
    <w:p>
      <w:pPr>
        <w:pStyle w:val="Compact"/>
        <w:numPr>
          <w:ilvl w:val="0"/>
          <w:numId w:val="1049"/>
        </w:numPr>
      </w:pPr>
      <w:r>
        <w:t xml:space="preserve">documented recovery exercises.</w:t>
      </w:r>
    </w:p>
    <w:p>
      <w:pPr>
        <w:pStyle w:val="FirstParagraph"/>
      </w:pPr>
      <w:r>
        <w:t xml:space="preserve">A single-node Qdrant configuration has no high availability and is not recommended for production.</w:t>
      </w:r>
    </w:p>
    <w:bookmarkEnd w:id="93"/>
    <w:bookmarkEnd w:id="94"/>
    <w:bookmarkStart w:id="95" w:name="capacity-planning-method"/>
    <w:p>
      <w:pPr>
        <w:pStyle w:val="Heading2"/>
      </w:pPr>
      <w:r>
        <w:t xml:space="preserve">15.4 Capacity-planning method</w:t>
      </w:r>
    </w:p>
    <w:p>
      <w:pPr>
        <w:pStyle w:val="FirstParagraph"/>
      </w:pPr>
      <w:r>
        <w:t xml:space="preserve">Measure and size from:</w:t>
      </w:r>
    </w:p>
    <w:p>
      <w:pPr>
        <w:pStyle w:val="Compact"/>
        <w:numPr>
          <w:ilvl w:val="0"/>
          <w:numId w:val="1050"/>
        </w:numPr>
      </w:pPr>
      <w:r>
        <w:t xml:space="preserve">peak concurrent sessions;</w:t>
      </w:r>
    </w:p>
    <w:p>
      <w:pPr>
        <w:pStyle w:val="Compact"/>
        <w:numPr>
          <w:ilvl w:val="0"/>
          <w:numId w:val="1050"/>
        </w:numPr>
      </w:pPr>
      <w:r>
        <w:t xml:space="preserve">average session duration;</w:t>
      </w:r>
    </w:p>
    <w:p>
      <w:pPr>
        <w:pStyle w:val="Compact"/>
        <w:numPr>
          <w:ilvl w:val="0"/>
          <w:numId w:val="1050"/>
        </w:numPr>
      </w:pPr>
      <w:r>
        <w:t xml:space="preserve">audio minutes per session;</w:t>
      </w:r>
    </w:p>
    <w:p>
      <w:pPr>
        <w:pStyle w:val="Compact"/>
        <w:numPr>
          <w:ilvl w:val="0"/>
          <w:numId w:val="1050"/>
        </w:numPr>
      </w:pPr>
      <w:r>
        <w:t xml:space="preserve">images per case;</w:t>
      </w:r>
    </w:p>
    <w:p>
      <w:pPr>
        <w:pStyle w:val="Compact"/>
        <w:numPr>
          <w:ilvl w:val="0"/>
          <w:numId w:val="1050"/>
        </w:numPr>
      </w:pPr>
      <w:r>
        <w:t xml:space="preserve">video usage rate;</w:t>
      </w:r>
    </w:p>
    <w:p>
      <w:pPr>
        <w:pStyle w:val="Compact"/>
        <w:numPr>
          <w:ilvl w:val="0"/>
          <w:numId w:val="1050"/>
        </w:numPr>
      </w:pPr>
      <w:r>
        <w:t xml:space="preserve">multimodal calls per case;</w:t>
      </w:r>
    </w:p>
    <w:p>
      <w:pPr>
        <w:pStyle w:val="Compact"/>
        <w:numPr>
          <w:ilvl w:val="0"/>
          <w:numId w:val="1050"/>
        </w:numPr>
      </w:pPr>
      <w:r>
        <w:t xml:space="preserve">average retrieved chunks;</w:t>
      </w:r>
    </w:p>
    <w:p>
      <w:pPr>
        <w:pStyle w:val="Compact"/>
        <w:numPr>
          <w:ilvl w:val="0"/>
          <w:numId w:val="1050"/>
        </w:numPr>
      </w:pPr>
      <w:r>
        <w:t xml:space="preserve">TTS characters per response;</w:t>
      </w:r>
    </w:p>
    <w:p>
      <w:pPr>
        <w:pStyle w:val="Compact"/>
        <w:numPr>
          <w:ilvl w:val="0"/>
          <w:numId w:val="1050"/>
        </w:numPr>
      </w:pPr>
      <w:r>
        <w:t xml:space="preserve">field-officer review rate;</w:t>
      </w:r>
    </w:p>
    <w:p>
      <w:pPr>
        <w:pStyle w:val="Compact"/>
        <w:numPr>
          <w:ilvl w:val="0"/>
          <w:numId w:val="1050"/>
        </w:numPr>
      </w:pPr>
      <w:r>
        <w:t xml:space="preserve">local GPU tokens per second;</w:t>
      </w:r>
    </w:p>
    <w:p>
      <w:pPr>
        <w:pStyle w:val="Compact"/>
        <w:numPr>
          <w:ilvl w:val="0"/>
          <w:numId w:val="1050"/>
        </w:numPr>
      </w:pPr>
      <w:r>
        <w:t xml:space="preserve">external provider quota.</w:t>
      </w:r>
    </w:p>
    <w:p>
      <w:pPr>
        <w:pStyle w:val="FirstParagraph"/>
      </w:pPr>
      <w:r>
        <w:t xml:space="preserve">Do not approve province-wide capacity from synthetic vendor benchmarks alone.</w:t>
      </w:r>
    </w:p>
    <w:bookmarkEnd w:id="95"/>
    <w:bookmarkStart w:id="96" w:name="backpressure"/>
    <w:p>
      <w:pPr>
        <w:pStyle w:val="Heading2"/>
      </w:pPr>
      <w:r>
        <w:t xml:space="preserve">15.5 Backpressure</w:t>
      </w:r>
    </w:p>
    <w:p>
      <w:pPr>
        <w:pStyle w:val="FirstParagraph"/>
      </w:pPr>
      <w:r>
        <w:t xml:space="preserve">When systems are overloaded:</w:t>
      </w:r>
    </w:p>
    <w:p>
      <w:pPr>
        <w:pStyle w:val="Compact"/>
        <w:numPr>
          <w:ilvl w:val="0"/>
          <w:numId w:val="1051"/>
        </w:numPr>
      </w:pPr>
      <w:r>
        <w:t xml:space="preserve">Maintain audio connection where possible.</w:t>
      </w:r>
    </w:p>
    <w:p>
      <w:pPr>
        <w:pStyle w:val="Compact"/>
        <w:numPr>
          <w:ilvl w:val="0"/>
          <w:numId w:val="1051"/>
        </w:numPr>
      </w:pPr>
      <w:r>
        <w:t xml:space="preserve">Stop accepting continuous video.</w:t>
      </w:r>
    </w:p>
    <w:p>
      <w:pPr>
        <w:pStyle w:val="Compact"/>
        <w:numPr>
          <w:ilvl w:val="0"/>
          <w:numId w:val="1051"/>
        </w:numPr>
      </w:pPr>
      <w:r>
        <w:t xml:space="preserve">Switch to still-image capture.</w:t>
      </w:r>
    </w:p>
    <w:p>
      <w:pPr>
        <w:pStyle w:val="Compact"/>
        <w:numPr>
          <w:ilvl w:val="0"/>
          <w:numId w:val="1051"/>
        </w:numPr>
      </w:pPr>
      <w:r>
        <w:t xml:space="preserve">Queue nonurgent diagnoses.</w:t>
      </w:r>
    </w:p>
    <w:p>
      <w:pPr>
        <w:pStyle w:val="Compact"/>
        <w:numPr>
          <w:ilvl w:val="0"/>
          <w:numId w:val="1051"/>
        </w:numPr>
      </w:pPr>
      <w:r>
        <w:t xml:space="preserve">Provide an immediate acknowledgement.</w:t>
      </w:r>
    </w:p>
    <w:p>
      <w:pPr>
        <w:pStyle w:val="Compact"/>
        <w:numPr>
          <w:ilvl w:val="0"/>
          <w:numId w:val="1051"/>
        </w:numPr>
      </w:pPr>
      <w:r>
        <w:t xml:space="preserve">Preserve the case.</w:t>
      </w:r>
    </w:p>
    <w:p>
      <w:pPr>
        <w:pStyle w:val="Compact"/>
        <w:numPr>
          <w:ilvl w:val="0"/>
          <w:numId w:val="1051"/>
        </w:numPr>
      </w:pPr>
      <w:r>
        <w:t xml:space="preserve">Notify the farmer when processing completes.</w:t>
      </w:r>
    </w:p>
    <w:p>
      <w:pPr>
        <w:pStyle w:val="Compact"/>
        <w:numPr>
          <w:ilvl w:val="0"/>
          <w:numId w:val="1051"/>
        </w:numPr>
      </w:pPr>
      <w:r>
        <w:t xml:space="preserve">Protect emergency and officer-priority workloads.</w:t>
      </w:r>
    </w:p>
    <w:p>
      <w:r>
        <w:pict>
          <v:rect style="width:0;height:1.5pt" o:hralign="center" o:hrstd="t" o:hr="t"/>
        </w:pict>
      </w:r>
    </w:p>
    <w:bookmarkEnd w:id="96"/>
    <w:bookmarkEnd w:id="97"/>
    <w:bookmarkStart w:id="99" w:name="latency-targets"/>
    <w:p>
      <w:pPr>
        <w:pStyle w:val="Heading1"/>
      </w:pPr>
      <w:r>
        <w:t xml:space="preserve">16. Latency targets</w:t>
      </w:r>
    </w:p>
    <w:p>
      <w:pPr>
        <w:pStyle w:val="FirstParagraph"/>
      </w:pPr>
      <w:r>
        <w:t xml:space="preserve">These are service objectives, not guarantees.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Interaction</w:t>
            </w:r>
          </w:p>
        </w:tc>
        <w:tc>
          <w:tcPr/>
          <w:p>
            <w:pPr>
              <w:pStyle w:val="Compact"/>
              <w:jc w:val="right"/>
            </w:pPr>
            <w:r>
              <w:t xml:space="preserve">Pilot objective</w:t>
            </w:r>
          </w:p>
        </w:tc>
      </w:tr>
      <w:tr>
        <w:tc>
          <w:tcPr/>
          <w:p>
            <w:pPr>
              <w:pStyle w:val="Compact"/>
            </w:pPr>
            <w:r>
              <w:t xml:space="preserve">Microphone activation feedback</w:t>
            </w:r>
          </w:p>
        </w:tc>
        <w:tc>
          <w:tcPr/>
          <w:p>
            <w:pPr>
              <w:pStyle w:val="Compact"/>
              <w:jc w:val="right"/>
            </w:pPr>
            <w:r>
              <w:t xml:space="preserve">Under 150 ms</w:t>
            </w:r>
          </w:p>
        </w:tc>
      </w:tr>
      <w:tr>
        <w:tc>
          <w:tcPr/>
          <w:p>
            <w:pPr>
              <w:pStyle w:val="Compact"/>
            </w:pPr>
            <w:r>
              <w:t xml:space="preserve">Interim STT appearance</w:t>
            </w:r>
          </w:p>
        </w:tc>
        <w:tc>
          <w:tcPr/>
          <w:p>
            <w:pPr>
              <w:pStyle w:val="Compact"/>
              <w:jc w:val="right"/>
            </w:pPr>
            <w:r>
              <w:t xml:space="preserve">P95 under 700 ms</w:t>
            </w:r>
          </w:p>
        </w:tc>
      </w:tr>
      <w:tr>
        <w:tc>
          <w:tcPr/>
          <w:p>
            <w:pPr>
              <w:pStyle w:val="Compact"/>
            </w:pPr>
            <w:r>
              <w:t xml:space="preserve">End-of-turn detection</w:t>
            </w:r>
          </w:p>
        </w:tc>
        <w:tc>
          <w:tcPr/>
          <w:p>
            <w:pPr>
              <w:pStyle w:val="Compact"/>
              <w:jc w:val="right"/>
            </w:pPr>
            <w:r>
              <w:t xml:space="preserve">P95 under 700 ms</w:t>
            </w:r>
          </w:p>
        </w:tc>
      </w:tr>
      <w:tr>
        <w:tc>
          <w:tcPr/>
          <w:p>
            <w:pPr>
              <w:pStyle w:val="Compact"/>
            </w:pPr>
            <w:r>
              <w:t xml:space="preserve">Simple FAQ first audio</w:t>
            </w:r>
          </w:p>
        </w:tc>
        <w:tc>
          <w:tcPr/>
          <w:p>
            <w:pPr>
              <w:pStyle w:val="Compact"/>
              <w:jc w:val="right"/>
            </w:pPr>
            <w:r>
              <w:t xml:space="preserve">P95 under 2.0 seconds</w:t>
            </w:r>
          </w:p>
        </w:tc>
      </w:tr>
      <w:tr>
        <w:tc>
          <w:tcPr/>
          <w:p>
            <w:pPr>
              <w:pStyle w:val="Compact"/>
            </w:pPr>
            <w:r>
              <w:t xml:space="preserve">Text-only RAG answer first audio</w:t>
            </w:r>
          </w:p>
        </w:tc>
        <w:tc>
          <w:tcPr/>
          <w:p>
            <w:pPr>
              <w:pStyle w:val="Compact"/>
              <w:jc w:val="right"/>
            </w:pPr>
            <w:r>
              <w:t xml:space="preserve">P95 under 2.5 seconds</w:t>
            </w:r>
          </w:p>
        </w:tc>
      </w:tr>
      <w:tr>
        <w:tc>
          <w:tcPr/>
          <w:p>
            <w:pPr>
              <w:pStyle w:val="Compact"/>
            </w:pPr>
            <w:r>
              <w:t xml:space="preserve">Photo diagnosis first useful response</w:t>
            </w:r>
          </w:p>
        </w:tc>
        <w:tc>
          <w:tcPr/>
          <w:p>
            <w:pPr>
              <w:pStyle w:val="Compact"/>
              <w:jc w:val="right"/>
            </w:pPr>
            <w:r>
              <w:t xml:space="preserve">P95 under 4.0 seconds</w:t>
            </w:r>
          </w:p>
        </w:tc>
      </w:tr>
      <w:tr>
        <w:tc>
          <w:tcPr/>
          <w:p>
            <w:pPr>
              <w:pStyle w:val="Compact"/>
            </w:pPr>
            <w:r>
              <w:t xml:space="preserve">Short-video diagnosis</w:t>
            </w:r>
          </w:p>
        </w:tc>
        <w:tc>
          <w:tcPr/>
          <w:p>
            <w:pPr>
              <w:pStyle w:val="Compact"/>
              <w:jc w:val="right"/>
            </w:pPr>
            <w:r>
              <w:t xml:space="preserve">P95 under 7.0 seconds</w:t>
            </w:r>
          </w:p>
        </w:tc>
      </w:tr>
      <w:tr>
        <w:tc>
          <w:tcPr/>
          <w:p>
            <w:pPr>
              <w:pStyle w:val="Compact"/>
            </w:pPr>
            <w:r>
              <w:t xml:space="preserve">TTS interruption stop</w:t>
            </w:r>
          </w:p>
        </w:tc>
        <w:tc>
          <w:tcPr/>
          <w:p>
            <w:pPr>
              <w:pStyle w:val="Compact"/>
              <w:jc w:val="right"/>
            </w:pPr>
            <w:r>
              <w:t xml:space="preserve">P95 under 300 ms</w:t>
            </w:r>
          </w:p>
        </w:tc>
      </w:tr>
      <w:tr>
        <w:tc>
          <w:tcPr/>
          <w:p>
            <w:pPr>
              <w:pStyle w:val="Compact"/>
            </w:pPr>
            <w:r>
              <w:t xml:space="preserve">Case persistence after failure</w:t>
            </w:r>
          </w:p>
        </w:tc>
        <w:tc>
          <w:tcPr/>
          <w:p>
            <w:pPr>
              <w:pStyle w:val="Compact"/>
              <w:jc w:val="right"/>
            </w:pPr>
            <w:r>
              <w:t xml:space="preserve">Under 5 seconds</w:t>
            </w:r>
          </w:p>
        </w:tc>
      </w:tr>
    </w:tbl>
    <w:bookmarkStart w:id="98" w:name="latency-reduction-methods"/>
    <w:p>
      <w:pPr>
        <w:pStyle w:val="Heading2"/>
      </w:pPr>
      <w:r>
        <w:t xml:space="preserve">Latency-reduction methods</w:t>
      </w:r>
    </w:p>
    <w:p>
      <w:pPr>
        <w:pStyle w:val="Compact"/>
        <w:numPr>
          <w:ilvl w:val="0"/>
          <w:numId w:val="1052"/>
        </w:numPr>
      </w:pPr>
      <w:r>
        <w:t xml:space="preserve">preconnect to STT and TTS;</w:t>
      </w:r>
    </w:p>
    <w:p>
      <w:pPr>
        <w:pStyle w:val="Compact"/>
        <w:numPr>
          <w:ilvl w:val="0"/>
          <w:numId w:val="1052"/>
        </w:numPr>
      </w:pPr>
      <w:r>
        <w:t xml:space="preserve">stream interim transcripts;</w:t>
      </w:r>
    </w:p>
    <w:p>
      <w:pPr>
        <w:pStyle w:val="Compact"/>
        <w:numPr>
          <w:ilvl w:val="0"/>
          <w:numId w:val="1052"/>
        </w:numPr>
      </w:pPr>
      <w:r>
        <w:t xml:space="preserve">prefetch crop-specific knowledge;</w:t>
      </w:r>
    </w:p>
    <w:p>
      <w:pPr>
        <w:pStyle w:val="Compact"/>
        <w:numPr>
          <w:ilvl w:val="0"/>
          <w:numId w:val="1052"/>
        </w:numPr>
      </w:pPr>
      <w:r>
        <w:t xml:space="preserve">run field-history and RAG retrieval in parallel;</w:t>
      </w:r>
    </w:p>
    <w:p>
      <w:pPr>
        <w:pStyle w:val="Compact"/>
        <w:numPr>
          <w:ilvl w:val="0"/>
          <w:numId w:val="1052"/>
        </w:numPr>
      </w:pPr>
      <w:r>
        <w:t xml:space="preserve">compress images before upload;</w:t>
      </w:r>
    </w:p>
    <w:p>
      <w:pPr>
        <w:pStyle w:val="Compact"/>
        <w:numPr>
          <w:ilvl w:val="0"/>
          <w:numId w:val="1052"/>
        </w:numPr>
      </w:pPr>
      <w:r>
        <w:t xml:space="preserve">send selected frames only;</w:t>
      </w:r>
    </w:p>
    <w:p>
      <w:pPr>
        <w:pStyle w:val="Compact"/>
        <w:numPr>
          <w:ilvl w:val="0"/>
          <w:numId w:val="1052"/>
        </w:numPr>
      </w:pPr>
      <w:r>
        <w:t xml:space="preserve">stream TTS sentence by sentence;</w:t>
      </w:r>
    </w:p>
    <w:p>
      <w:pPr>
        <w:pStyle w:val="Compact"/>
        <w:numPr>
          <w:ilvl w:val="0"/>
          <w:numId w:val="1052"/>
        </w:numPr>
      </w:pPr>
      <w:r>
        <w:t xml:space="preserve">cache approved common answers;</w:t>
      </w:r>
    </w:p>
    <w:p>
      <w:pPr>
        <w:pStyle w:val="Compact"/>
        <w:numPr>
          <w:ilvl w:val="0"/>
          <w:numId w:val="1052"/>
        </w:numPr>
      </w:pPr>
      <w:r>
        <w:t xml:space="preserve">use a low-latency acknowledgement while diagnosis runs;</w:t>
      </w:r>
    </w:p>
    <w:p>
      <w:pPr>
        <w:pStyle w:val="Compact"/>
        <w:numPr>
          <w:ilvl w:val="0"/>
          <w:numId w:val="1052"/>
        </w:numPr>
      </w:pPr>
      <w:r>
        <w:t xml:space="preserve">avoid routing media through LangGraph.</w:t>
      </w:r>
    </w:p>
    <w:p>
      <w:r>
        <w:pict>
          <v:rect style="width:0;height:1.5pt" o:hralign="center" o:hrstd="t" o:hr="t"/>
        </w:pict>
      </w:r>
    </w:p>
    <w:bookmarkEnd w:id="98"/>
    <w:bookmarkEnd w:id="99"/>
    <w:bookmarkStart w:id="103" w:name="deployment-and-sovereignty-models"/>
    <w:p>
      <w:pPr>
        <w:pStyle w:val="Heading1"/>
      </w:pPr>
      <w:r>
        <w:t xml:space="preserve">17. Deployment and sovereignty models</w:t>
      </w:r>
    </w:p>
    <w:bookmarkStart w:id="100" w:name="fully-sovereign"/>
    <w:p>
      <w:pPr>
        <w:pStyle w:val="Heading2"/>
      </w:pPr>
      <w:r>
        <w:t xml:space="preserve">17.1 Fully sovereign</w:t>
      </w:r>
    </w:p>
    <w:p>
      <w:pPr>
        <w:pStyle w:val="FirstParagraph"/>
      </w:pPr>
      <w:r>
        <w:t xml:space="preserve">All components operate inside government-controlled infrastructure:</w:t>
      </w:r>
    </w:p>
    <w:p>
      <w:pPr>
        <w:pStyle w:val="Compact"/>
        <w:numPr>
          <w:ilvl w:val="0"/>
          <w:numId w:val="1053"/>
        </w:numPr>
      </w:pPr>
      <w:r>
        <w:t xml:space="preserve">LiveKit;</w:t>
      </w:r>
    </w:p>
    <w:p>
      <w:pPr>
        <w:pStyle w:val="Compact"/>
        <w:numPr>
          <w:ilvl w:val="0"/>
          <w:numId w:val="1053"/>
        </w:numPr>
      </w:pPr>
      <w:r>
        <w:t xml:space="preserve">STT;</w:t>
      </w:r>
    </w:p>
    <w:p>
      <w:pPr>
        <w:pStyle w:val="Compact"/>
        <w:numPr>
          <w:ilvl w:val="0"/>
          <w:numId w:val="1053"/>
        </w:numPr>
      </w:pPr>
      <w:r>
        <w:t xml:space="preserve">multimodal model;</w:t>
      </w:r>
    </w:p>
    <w:p>
      <w:pPr>
        <w:pStyle w:val="Compact"/>
        <w:numPr>
          <w:ilvl w:val="0"/>
          <w:numId w:val="1053"/>
        </w:numPr>
      </w:pPr>
      <w:r>
        <w:t xml:space="preserve">embeddings;</w:t>
      </w:r>
    </w:p>
    <w:p>
      <w:pPr>
        <w:pStyle w:val="Compact"/>
        <w:numPr>
          <w:ilvl w:val="0"/>
          <w:numId w:val="1053"/>
        </w:numPr>
      </w:pPr>
      <w:r>
        <w:t xml:space="preserve">reranker;</w:t>
      </w:r>
    </w:p>
    <w:p>
      <w:pPr>
        <w:pStyle w:val="Compact"/>
        <w:numPr>
          <w:ilvl w:val="0"/>
          <w:numId w:val="1053"/>
        </w:numPr>
      </w:pPr>
      <w:r>
        <w:t xml:space="preserve">RAG;</w:t>
      </w:r>
    </w:p>
    <w:p>
      <w:pPr>
        <w:pStyle w:val="Compact"/>
        <w:numPr>
          <w:ilvl w:val="0"/>
          <w:numId w:val="1053"/>
        </w:numPr>
      </w:pPr>
      <w:r>
        <w:t xml:space="preserve">policy engine;</w:t>
      </w:r>
    </w:p>
    <w:p>
      <w:pPr>
        <w:pStyle w:val="Compact"/>
        <w:numPr>
          <w:ilvl w:val="0"/>
          <w:numId w:val="1053"/>
        </w:numPr>
      </w:pPr>
      <w:r>
        <w:t xml:space="preserve">TTS;</w:t>
      </w:r>
    </w:p>
    <w:p>
      <w:pPr>
        <w:pStyle w:val="Compact"/>
        <w:numPr>
          <w:ilvl w:val="0"/>
          <w:numId w:val="1053"/>
        </w:numPr>
      </w:pPr>
      <w:r>
        <w:t xml:space="preserve">databases;</w:t>
      </w:r>
    </w:p>
    <w:p>
      <w:pPr>
        <w:pStyle w:val="Compact"/>
        <w:numPr>
          <w:ilvl w:val="0"/>
          <w:numId w:val="1053"/>
        </w:numPr>
      </w:pPr>
      <w:r>
        <w:t xml:space="preserve">object storage;</w:t>
      </w:r>
    </w:p>
    <w:p>
      <w:pPr>
        <w:pStyle w:val="Compact"/>
        <w:numPr>
          <w:ilvl w:val="0"/>
          <w:numId w:val="1053"/>
        </w:numPr>
      </w:pPr>
      <w:r>
        <w:t xml:space="preserve">logs.</w:t>
      </w:r>
    </w:p>
    <w:p>
      <w:pPr>
        <w:pStyle w:val="FirstParagraph"/>
      </w:pPr>
      <w:r>
        <w:t xml:space="preserve">This provides the strongest sovereignty but has the highest GPU, engineering and operational burden.</w:t>
      </w:r>
    </w:p>
    <w:bookmarkEnd w:id="100"/>
    <w:bookmarkStart w:id="101" w:name="hybrid-controlled"/>
    <w:p>
      <w:pPr>
        <w:pStyle w:val="Heading2"/>
      </w:pPr>
      <w:r>
        <w:t xml:space="preserve">17.2 Hybrid controlled</w:t>
      </w:r>
    </w:p>
    <w:p>
      <w:pPr>
        <w:pStyle w:val="FirstParagraph"/>
      </w:pPr>
      <w:r>
        <w:t xml:space="preserve">Keep on-premise:</w:t>
      </w:r>
    </w:p>
    <w:p>
      <w:pPr>
        <w:pStyle w:val="Compact"/>
        <w:numPr>
          <w:ilvl w:val="0"/>
          <w:numId w:val="1054"/>
        </w:numPr>
      </w:pPr>
      <w:r>
        <w:t xml:space="preserve">farmer identity;</w:t>
      </w:r>
    </w:p>
    <w:p>
      <w:pPr>
        <w:pStyle w:val="Compact"/>
        <w:numPr>
          <w:ilvl w:val="0"/>
          <w:numId w:val="1054"/>
        </w:numPr>
      </w:pPr>
      <w:r>
        <w:t xml:space="preserve">field boundaries;</w:t>
      </w:r>
    </w:p>
    <w:p>
      <w:pPr>
        <w:pStyle w:val="Compact"/>
        <w:numPr>
          <w:ilvl w:val="0"/>
          <w:numId w:val="1054"/>
        </w:numPr>
      </w:pPr>
      <w:r>
        <w:t xml:space="preserve">treatment history;</w:t>
      </w:r>
    </w:p>
    <w:p>
      <w:pPr>
        <w:pStyle w:val="Compact"/>
        <w:numPr>
          <w:ilvl w:val="0"/>
          <w:numId w:val="1054"/>
        </w:numPr>
      </w:pPr>
      <w:r>
        <w:t xml:space="preserve">RAG documents;</w:t>
      </w:r>
    </w:p>
    <w:p>
      <w:pPr>
        <w:pStyle w:val="Compact"/>
        <w:numPr>
          <w:ilvl w:val="0"/>
          <w:numId w:val="1054"/>
        </w:numPr>
      </w:pPr>
      <w:r>
        <w:t xml:space="preserve">policy engine;</w:t>
      </w:r>
    </w:p>
    <w:p>
      <w:pPr>
        <w:pStyle w:val="Compact"/>
        <w:numPr>
          <w:ilvl w:val="0"/>
          <w:numId w:val="1054"/>
        </w:numPr>
      </w:pPr>
      <w:r>
        <w:t xml:space="preserve">audit logs;</w:t>
      </w:r>
    </w:p>
    <w:p>
      <w:pPr>
        <w:pStyle w:val="Compact"/>
        <w:numPr>
          <w:ilvl w:val="0"/>
          <w:numId w:val="1054"/>
        </w:numPr>
      </w:pPr>
      <w:r>
        <w:t xml:space="preserve">long-term media storage.</w:t>
      </w:r>
    </w:p>
    <w:p>
      <w:pPr>
        <w:pStyle w:val="FirstParagraph"/>
      </w:pPr>
      <w:r>
        <w:t xml:space="preserve">Send externally only:</w:t>
      </w:r>
    </w:p>
    <w:p>
      <w:pPr>
        <w:pStyle w:val="Compact"/>
        <w:numPr>
          <w:ilvl w:val="0"/>
          <w:numId w:val="1055"/>
        </w:numPr>
      </w:pPr>
      <w:r>
        <w:t xml:space="preserve">sanitized transcript;</w:t>
      </w:r>
    </w:p>
    <w:p>
      <w:pPr>
        <w:pStyle w:val="Compact"/>
        <w:numPr>
          <w:ilvl w:val="0"/>
          <w:numId w:val="1055"/>
        </w:numPr>
      </w:pPr>
      <w:r>
        <w:t xml:space="preserve">selected crop images;</w:t>
      </w:r>
    </w:p>
    <w:p>
      <w:pPr>
        <w:pStyle w:val="Compact"/>
        <w:numPr>
          <w:ilvl w:val="0"/>
          <w:numId w:val="1055"/>
        </w:numPr>
      </w:pPr>
      <w:r>
        <w:t xml:space="preserve">minimum required context;</w:t>
      </w:r>
    </w:p>
    <w:p>
      <w:pPr>
        <w:pStyle w:val="Compact"/>
        <w:numPr>
          <w:ilvl w:val="0"/>
          <w:numId w:val="1055"/>
        </w:numPr>
      </w:pPr>
      <w:r>
        <w:t xml:space="preserve">pseudonymous request ID.</w:t>
      </w:r>
    </w:p>
    <w:p>
      <w:pPr>
        <w:pStyle w:val="FirstParagraph"/>
      </w:pPr>
      <w:r>
        <w:t xml:space="preserve">This is likely the most practical pilot architecture.</w:t>
      </w:r>
    </w:p>
    <w:bookmarkEnd w:id="101"/>
    <w:bookmarkStart w:id="102" w:name="enterprise-cloud"/>
    <w:p>
      <w:pPr>
        <w:pStyle w:val="Heading2"/>
      </w:pPr>
      <w:r>
        <w:t xml:space="preserve">17.3 Enterprise cloud</w:t>
      </w:r>
    </w:p>
    <w:p>
      <w:pPr>
        <w:pStyle w:val="FirstParagraph"/>
      </w:pPr>
      <w:r>
        <w:t xml:space="preserve">Use approved enterprise cloud services with:</w:t>
      </w:r>
    </w:p>
    <w:p>
      <w:pPr>
        <w:pStyle w:val="Compact"/>
        <w:numPr>
          <w:ilvl w:val="0"/>
          <w:numId w:val="1056"/>
        </w:numPr>
      </w:pPr>
      <w:r>
        <w:t xml:space="preserve">contractual retention terms;</w:t>
      </w:r>
    </w:p>
    <w:p>
      <w:pPr>
        <w:pStyle w:val="Compact"/>
        <w:numPr>
          <w:ilvl w:val="0"/>
          <w:numId w:val="1056"/>
        </w:numPr>
      </w:pPr>
      <w:r>
        <w:t xml:space="preserve">regional controls;</w:t>
      </w:r>
    </w:p>
    <w:p>
      <w:pPr>
        <w:pStyle w:val="Compact"/>
        <w:numPr>
          <w:ilvl w:val="0"/>
          <w:numId w:val="1056"/>
        </w:numPr>
      </w:pPr>
      <w:r>
        <w:t xml:space="preserve">private networking where possible;</w:t>
      </w:r>
    </w:p>
    <w:p>
      <w:pPr>
        <w:pStyle w:val="Compact"/>
        <w:numPr>
          <w:ilvl w:val="0"/>
          <w:numId w:val="1056"/>
        </w:numPr>
      </w:pPr>
      <w:r>
        <w:t xml:space="preserve">encryption;</w:t>
      </w:r>
    </w:p>
    <w:p>
      <w:pPr>
        <w:pStyle w:val="Compact"/>
        <w:numPr>
          <w:ilvl w:val="0"/>
          <w:numId w:val="1056"/>
        </w:numPr>
      </w:pPr>
      <w:r>
        <w:t xml:space="preserve">customer-managed keys where supported;</w:t>
      </w:r>
    </w:p>
    <w:p>
      <w:pPr>
        <w:pStyle w:val="Compact"/>
        <w:numPr>
          <w:ilvl w:val="0"/>
          <w:numId w:val="1056"/>
        </w:numPr>
      </w:pPr>
      <w:r>
        <w:t xml:space="preserve">audit exports;</w:t>
      </w:r>
    </w:p>
    <w:p>
      <w:pPr>
        <w:pStyle w:val="Compact"/>
        <w:numPr>
          <w:ilvl w:val="0"/>
          <w:numId w:val="1056"/>
        </w:numPr>
      </w:pPr>
      <w:r>
        <w:t xml:space="preserve">data-processing agreements.</w:t>
      </w:r>
    </w:p>
    <w:p>
      <w:pPr>
        <w:pStyle w:val="FirstParagraph"/>
      </w:pPr>
      <w:r>
        <w:t xml:space="preserve">Do not describe a hybrid deployment as</w:t>
      </w:r>
      <w:r>
        <w:t xml:space="preserve"> </w:t>
      </w:r>
      <w:r>
        <w:t xml:space="preserve">“completely on-premise.”</w:t>
      </w:r>
    </w:p>
    <w:p>
      <w:r>
        <w:pict>
          <v:rect style="width:0;height:1.5pt" o:hralign="center" o:hrstd="t" o:hr="t"/>
        </w:pict>
      </w:r>
    </w:p>
    <w:bookmarkEnd w:id="102"/>
    <w:bookmarkEnd w:id="103"/>
    <w:bookmarkStart w:id="108" w:name="security-and-privacy-plan"/>
    <w:p>
      <w:pPr>
        <w:pStyle w:val="Heading1"/>
      </w:pPr>
      <w:r>
        <w:t xml:space="preserve">18. Security and privacy plan</w:t>
      </w:r>
    </w:p>
    <w:bookmarkStart w:id="104" w:name="data-classification"/>
    <w:p>
      <w:pPr>
        <w:pStyle w:val="Heading2"/>
      </w:pPr>
      <w:r>
        <w:t xml:space="preserve">18.1 Data classification</w:t>
      </w:r>
    </w:p>
    <w:p>
      <w:pPr>
        <w:pStyle w:val="FirstParagraph"/>
      </w:pPr>
      <w:r>
        <w:t xml:space="preserve">Classify:</w:t>
      </w:r>
    </w:p>
    <w:p>
      <w:pPr>
        <w:pStyle w:val="Compact"/>
        <w:numPr>
          <w:ilvl w:val="0"/>
          <w:numId w:val="1057"/>
        </w:numPr>
      </w:pPr>
      <w:r>
        <w:t xml:space="preserve">public agricultural documents;</w:t>
      </w:r>
    </w:p>
    <w:p>
      <w:pPr>
        <w:pStyle w:val="Compact"/>
        <w:numPr>
          <w:ilvl w:val="0"/>
          <w:numId w:val="1057"/>
        </w:numPr>
      </w:pPr>
      <w:r>
        <w:t xml:space="preserve">internal departmental documents;</w:t>
      </w:r>
    </w:p>
    <w:p>
      <w:pPr>
        <w:pStyle w:val="Compact"/>
        <w:numPr>
          <w:ilvl w:val="0"/>
          <w:numId w:val="1057"/>
        </w:numPr>
      </w:pPr>
      <w:r>
        <w:t xml:space="preserve">farmer personal data;</w:t>
      </w:r>
    </w:p>
    <w:p>
      <w:pPr>
        <w:pStyle w:val="Compact"/>
        <w:numPr>
          <w:ilvl w:val="0"/>
          <w:numId w:val="1057"/>
        </w:numPr>
      </w:pPr>
      <w:r>
        <w:t xml:space="preserve">geospatial farm data;</w:t>
      </w:r>
    </w:p>
    <w:p>
      <w:pPr>
        <w:pStyle w:val="Compact"/>
        <w:numPr>
          <w:ilvl w:val="0"/>
          <w:numId w:val="1057"/>
        </w:numPr>
      </w:pPr>
      <w:r>
        <w:t xml:space="preserve">crop health data;</w:t>
      </w:r>
    </w:p>
    <w:p>
      <w:pPr>
        <w:pStyle w:val="Compact"/>
        <w:numPr>
          <w:ilvl w:val="0"/>
          <w:numId w:val="1057"/>
        </w:numPr>
      </w:pPr>
      <w:r>
        <w:t xml:space="preserve">media;</w:t>
      </w:r>
    </w:p>
    <w:p>
      <w:pPr>
        <w:pStyle w:val="Compact"/>
        <w:numPr>
          <w:ilvl w:val="0"/>
          <w:numId w:val="1057"/>
        </w:numPr>
      </w:pPr>
      <w:r>
        <w:t xml:space="preserve">chemical-use history;</w:t>
      </w:r>
    </w:p>
    <w:p>
      <w:pPr>
        <w:pStyle w:val="Compact"/>
        <w:numPr>
          <w:ilvl w:val="0"/>
          <w:numId w:val="1057"/>
        </w:numPr>
      </w:pPr>
      <w:r>
        <w:t xml:space="preserve">audit and investigation records.</w:t>
      </w:r>
    </w:p>
    <w:bookmarkEnd w:id="104"/>
    <w:bookmarkStart w:id="105" w:name="security-controls"/>
    <w:p>
      <w:pPr>
        <w:pStyle w:val="Heading2"/>
      </w:pPr>
      <w:r>
        <w:t xml:space="preserve">18.2 Security controls</w:t>
      </w:r>
    </w:p>
    <w:p>
      <w:pPr>
        <w:pStyle w:val="Compact"/>
        <w:numPr>
          <w:ilvl w:val="0"/>
          <w:numId w:val="1058"/>
        </w:numPr>
      </w:pPr>
      <w:r>
        <w:t xml:space="preserve">TLS for all service communication;</w:t>
      </w:r>
    </w:p>
    <w:p>
      <w:pPr>
        <w:pStyle w:val="Compact"/>
        <w:numPr>
          <w:ilvl w:val="0"/>
          <w:numId w:val="1058"/>
        </w:numPr>
      </w:pPr>
      <w:r>
        <w:t xml:space="preserve">encryption at rest;</w:t>
      </w:r>
    </w:p>
    <w:p>
      <w:pPr>
        <w:pStyle w:val="Compact"/>
        <w:numPr>
          <w:ilvl w:val="0"/>
          <w:numId w:val="1058"/>
        </w:numPr>
      </w:pPr>
      <w:r>
        <w:t xml:space="preserve">service-to-service authentication;</w:t>
      </w:r>
    </w:p>
    <w:p>
      <w:pPr>
        <w:pStyle w:val="Compact"/>
        <w:numPr>
          <w:ilvl w:val="0"/>
          <w:numId w:val="1058"/>
        </w:numPr>
      </w:pPr>
      <w:r>
        <w:t xml:space="preserve">short-lived tokens;</w:t>
      </w:r>
    </w:p>
    <w:p>
      <w:pPr>
        <w:pStyle w:val="Compact"/>
        <w:numPr>
          <w:ilvl w:val="0"/>
          <w:numId w:val="1058"/>
        </w:numPr>
      </w:pPr>
      <w:r>
        <w:t xml:space="preserve">role-based access;</w:t>
      </w:r>
    </w:p>
    <w:p>
      <w:pPr>
        <w:pStyle w:val="Compact"/>
        <w:numPr>
          <w:ilvl w:val="0"/>
          <w:numId w:val="1058"/>
        </w:numPr>
      </w:pPr>
      <w:r>
        <w:t xml:space="preserve">least privilege;</w:t>
      </w:r>
    </w:p>
    <w:p>
      <w:pPr>
        <w:pStyle w:val="Compact"/>
        <w:numPr>
          <w:ilvl w:val="0"/>
          <w:numId w:val="1058"/>
        </w:numPr>
      </w:pPr>
      <w:r>
        <w:t xml:space="preserve">secrets manager;</w:t>
      </w:r>
    </w:p>
    <w:p>
      <w:pPr>
        <w:pStyle w:val="Compact"/>
        <w:numPr>
          <w:ilvl w:val="0"/>
          <w:numId w:val="1058"/>
        </w:numPr>
      </w:pPr>
      <w:r>
        <w:t xml:space="preserve">network segmentation;</w:t>
      </w:r>
    </w:p>
    <w:p>
      <w:pPr>
        <w:pStyle w:val="Compact"/>
        <w:numPr>
          <w:ilvl w:val="0"/>
          <w:numId w:val="1058"/>
        </w:numPr>
      </w:pPr>
      <w:r>
        <w:t xml:space="preserve">private database subnets;</w:t>
      </w:r>
    </w:p>
    <w:p>
      <w:pPr>
        <w:pStyle w:val="Compact"/>
        <w:numPr>
          <w:ilvl w:val="0"/>
          <w:numId w:val="1058"/>
        </w:numPr>
      </w:pPr>
      <w:r>
        <w:t xml:space="preserve">API rate limiting;</w:t>
      </w:r>
    </w:p>
    <w:p>
      <w:pPr>
        <w:pStyle w:val="Compact"/>
        <w:numPr>
          <w:ilvl w:val="0"/>
          <w:numId w:val="1058"/>
        </w:numPr>
      </w:pPr>
      <w:r>
        <w:t xml:space="preserve">image and file malware scanning;</w:t>
      </w:r>
    </w:p>
    <w:p>
      <w:pPr>
        <w:pStyle w:val="Compact"/>
        <w:numPr>
          <w:ilvl w:val="0"/>
          <w:numId w:val="1058"/>
        </w:numPr>
      </w:pPr>
      <w:r>
        <w:t xml:space="preserve">dependency and container scanning;</w:t>
      </w:r>
    </w:p>
    <w:p>
      <w:pPr>
        <w:pStyle w:val="Compact"/>
        <w:numPr>
          <w:ilvl w:val="0"/>
          <w:numId w:val="1058"/>
        </w:numPr>
      </w:pPr>
      <w:r>
        <w:t xml:space="preserve">software bill of materials;</w:t>
      </w:r>
    </w:p>
    <w:p>
      <w:pPr>
        <w:pStyle w:val="Compact"/>
        <w:numPr>
          <w:ilvl w:val="0"/>
          <w:numId w:val="1058"/>
        </w:numPr>
      </w:pPr>
      <w:r>
        <w:t xml:space="preserve">signed images;</w:t>
      </w:r>
    </w:p>
    <w:p>
      <w:pPr>
        <w:pStyle w:val="Compact"/>
        <w:numPr>
          <w:ilvl w:val="0"/>
          <w:numId w:val="1058"/>
        </w:numPr>
      </w:pPr>
      <w:r>
        <w:t xml:space="preserve">centralized security logs;</w:t>
      </w:r>
    </w:p>
    <w:p>
      <w:pPr>
        <w:pStyle w:val="Compact"/>
        <w:numPr>
          <w:ilvl w:val="0"/>
          <w:numId w:val="1058"/>
        </w:numPr>
      </w:pPr>
      <w:r>
        <w:t xml:space="preserve">regular penetration testing.</w:t>
      </w:r>
    </w:p>
    <w:bookmarkEnd w:id="105"/>
    <w:bookmarkStart w:id="106" w:name="consent"/>
    <w:p>
      <w:pPr>
        <w:pStyle w:val="Heading2"/>
      </w:pPr>
      <w:r>
        <w:t xml:space="preserve">18.3 Consent</w:t>
      </w:r>
    </w:p>
    <w:p>
      <w:pPr>
        <w:pStyle w:val="FirstParagraph"/>
      </w:pPr>
      <w:r>
        <w:t xml:space="preserve">The farmer must understand:</w:t>
      </w:r>
    </w:p>
    <w:p>
      <w:pPr>
        <w:pStyle w:val="Compact"/>
        <w:numPr>
          <w:ilvl w:val="0"/>
          <w:numId w:val="1059"/>
        </w:numPr>
      </w:pPr>
      <w:r>
        <w:t xml:space="preserve">what media is captured;</w:t>
      </w:r>
    </w:p>
    <w:p>
      <w:pPr>
        <w:pStyle w:val="Compact"/>
        <w:numPr>
          <w:ilvl w:val="0"/>
          <w:numId w:val="1059"/>
        </w:numPr>
      </w:pPr>
      <w:r>
        <w:t xml:space="preserve">why it is used;</w:t>
      </w:r>
    </w:p>
    <w:p>
      <w:pPr>
        <w:pStyle w:val="Compact"/>
        <w:numPr>
          <w:ilvl w:val="0"/>
          <w:numId w:val="1059"/>
        </w:numPr>
      </w:pPr>
      <w:r>
        <w:t xml:space="preserve">whether it is stored;</w:t>
      </w:r>
    </w:p>
    <w:p>
      <w:pPr>
        <w:pStyle w:val="Compact"/>
        <w:numPr>
          <w:ilvl w:val="0"/>
          <w:numId w:val="1059"/>
        </w:numPr>
      </w:pPr>
      <w:r>
        <w:t xml:space="preserve">who can review it;</w:t>
      </w:r>
    </w:p>
    <w:p>
      <w:pPr>
        <w:pStyle w:val="Compact"/>
        <w:numPr>
          <w:ilvl w:val="0"/>
          <w:numId w:val="1059"/>
        </w:numPr>
      </w:pPr>
      <w:r>
        <w:t xml:space="preserve">whether it contributes to model evaluation;</w:t>
      </w:r>
    </w:p>
    <w:p>
      <w:pPr>
        <w:pStyle w:val="Compact"/>
        <w:numPr>
          <w:ilvl w:val="0"/>
          <w:numId w:val="1059"/>
        </w:numPr>
      </w:pPr>
      <w:r>
        <w:t xml:space="preserve">how long it is retained;</w:t>
      </w:r>
    </w:p>
    <w:p>
      <w:pPr>
        <w:pStyle w:val="Compact"/>
        <w:numPr>
          <w:ilvl w:val="0"/>
          <w:numId w:val="1059"/>
        </w:numPr>
      </w:pPr>
      <w:r>
        <w:t xml:space="preserve">how consent can be withdrawn where applicable.</w:t>
      </w:r>
    </w:p>
    <w:bookmarkEnd w:id="106"/>
    <w:bookmarkStart w:id="107" w:name="retention"/>
    <w:p>
      <w:pPr>
        <w:pStyle w:val="Heading2"/>
      </w:pPr>
      <w:r>
        <w:t xml:space="preserve">18.4 Retention</w:t>
      </w:r>
    </w:p>
    <w:p>
      <w:pPr>
        <w:pStyle w:val="FirstParagraph"/>
      </w:pPr>
      <w:r>
        <w:t xml:space="preserve">Define separate retention periods for:</w:t>
      </w:r>
    </w:p>
    <w:p>
      <w:pPr>
        <w:pStyle w:val="Compact"/>
        <w:numPr>
          <w:ilvl w:val="0"/>
          <w:numId w:val="1060"/>
        </w:numPr>
      </w:pPr>
      <w:r>
        <w:t xml:space="preserve">raw audio;</w:t>
      </w:r>
    </w:p>
    <w:p>
      <w:pPr>
        <w:pStyle w:val="Compact"/>
        <w:numPr>
          <w:ilvl w:val="0"/>
          <w:numId w:val="1060"/>
        </w:numPr>
      </w:pPr>
      <w:r>
        <w:t xml:space="preserve">transcript;</w:t>
      </w:r>
    </w:p>
    <w:p>
      <w:pPr>
        <w:pStyle w:val="Compact"/>
        <w:numPr>
          <w:ilvl w:val="0"/>
          <w:numId w:val="1060"/>
        </w:numPr>
      </w:pPr>
      <w:r>
        <w:t xml:space="preserve">photographs;</w:t>
      </w:r>
    </w:p>
    <w:p>
      <w:pPr>
        <w:pStyle w:val="Compact"/>
        <w:numPr>
          <w:ilvl w:val="0"/>
          <w:numId w:val="1060"/>
        </w:numPr>
      </w:pPr>
      <w:r>
        <w:t xml:space="preserve">video;</w:t>
      </w:r>
    </w:p>
    <w:p>
      <w:pPr>
        <w:pStyle w:val="Compact"/>
        <w:numPr>
          <w:ilvl w:val="0"/>
          <w:numId w:val="1060"/>
        </w:numPr>
      </w:pPr>
      <w:r>
        <w:t xml:space="preserve">diagnosis results;</w:t>
      </w:r>
    </w:p>
    <w:p>
      <w:pPr>
        <w:pStyle w:val="Compact"/>
        <w:numPr>
          <w:ilvl w:val="0"/>
          <w:numId w:val="1060"/>
        </w:numPr>
      </w:pPr>
      <w:r>
        <w:t xml:space="preserve">model logs;</w:t>
      </w:r>
    </w:p>
    <w:p>
      <w:pPr>
        <w:pStyle w:val="Compact"/>
        <w:numPr>
          <w:ilvl w:val="0"/>
          <w:numId w:val="1060"/>
        </w:numPr>
      </w:pPr>
      <w:r>
        <w:t xml:space="preserve">officer-review records;</w:t>
      </w:r>
    </w:p>
    <w:p>
      <w:pPr>
        <w:pStyle w:val="Compact"/>
        <w:numPr>
          <w:ilvl w:val="0"/>
          <w:numId w:val="1060"/>
        </w:numPr>
      </w:pPr>
      <w:r>
        <w:t xml:space="preserve">anonymized analytics.</w:t>
      </w:r>
    </w:p>
    <w:p>
      <w:pPr>
        <w:pStyle w:val="FirstParagraph"/>
      </w:pPr>
      <w:r>
        <w:t xml:space="preserve">Do not retain raw audio or video indefinitely merely because storage is available.</w:t>
      </w:r>
    </w:p>
    <w:p>
      <w:r>
        <w:pict>
          <v:rect style="width:0;height:1.5pt" o:hralign="center" o:hrstd="t" o:hr="t"/>
        </w:pict>
      </w:r>
    </w:p>
    <w:bookmarkEnd w:id="107"/>
    <w:bookmarkEnd w:id="108"/>
    <w:bookmarkStart w:id="112" w:name="audit-and-observability"/>
    <w:p>
      <w:pPr>
        <w:pStyle w:val="Heading1"/>
      </w:pPr>
      <w:r>
        <w:t xml:space="preserve">19. Audit and observability</w:t>
      </w:r>
    </w:p>
    <w:bookmarkStart w:id="109" w:name="audit-event"/>
    <w:p>
      <w:pPr>
        <w:pStyle w:val="Heading2"/>
      </w:pPr>
      <w:r>
        <w:t xml:space="preserve">19.1 Audit event</w:t>
      </w:r>
    </w:p>
    <w:p>
      <w:pPr>
        <w:pStyle w:val="FirstParagraph"/>
      </w:pPr>
      <w:r>
        <w:t xml:space="preserve">Each completed decision should record:</w:t>
      </w:r>
    </w:p>
    <w:p>
      <w:pPr>
        <w:pStyle w:val="SourceCode"/>
      </w:pPr>
      <w:r>
        <w:rPr>
          <w:rStyle w:val="FunctionTok"/>
        </w:rPr>
        <w:t xml:space="preserve">{</w:t>
      </w:r>
      <w:r>
        <w:br/>
      </w:r>
      <w:r>
        <w:rPr>
          <w:rStyle w:val="NormalTok"/>
        </w:rPr>
        <w:t xml:space="preserve">  </w:t>
      </w:r>
      <w:r>
        <w:rPr>
          <w:rStyle w:val="DataTypeTok"/>
        </w:rPr>
        <w:t xml:space="preserve">"case_id"</w:t>
      </w:r>
      <w:r>
        <w:rPr>
          <w:rStyle w:val="FunctionTok"/>
        </w:rPr>
        <w:t xml:space="preserve">:</w:t>
      </w:r>
      <w:r>
        <w:rPr>
          <w:rStyle w:val="NormalTok"/>
        </w:rPr>
        <w:t xml:space="preserve"> </w:t>
      </w:r>
      <w:r>
        <w:rPr>
          <w:rStyle w:val="StringTok"/>
        </w:rPr>
        <w:t xml:space="preserve">"CASE-2026-000123"</w:t>
      </w:r>
      <w:r>
        <w:rPr>
          <w:rStyle w:val="FunctionTok"/>
        </w:rPr>
        <w:t xml:space="preserve">,</w:t>
      </w:r>
      <w:r>
        <w:br/>
      </w:r>
      <w:r>
        <w:rPr>
          <w:rStyle w:val="NormalTok"/>
        </w:rPr>
        <w:t xml:space="preserve">  </w:t>
      </w:r>
      <w:r>
        <w:rPr>
          <w:rStyle w:val="DataTypeTok"/>
        </w:rPr>
        <w:t xml:space="preserve">"session_id"</w:t>
      </w:r>
      <w:r>
        <w:rPr>
          <w:rStyle w:val="FunctionTok"/>
        </w:rPr>
        <w:t xml:space="preserve">:</w:t>
      </w:r>
      <w:r>
        <w:rPr>
          <w:rStyle w:val="NormalTok"/>
        </w:rPr>
        <w:t xml:space="preserve"> </w:t>
      </w:r>
      <w:r>
        <w:rPr>
          <w:rStyle w:val="StringTok"/>
        </w:rPr>
        <w:t xml:space="preserve">"SESSION-..."</w:t>
      </w:r>
      <w:r>
        <w:rPr>
          <w:rStyle w:val="FunctionTok"/>
        </w:rPr>
        <w:t xml:space="preserve">,</w:t>
      </w:r>
      <w:r>
        <w:br/>
      </w:r>
      <w:r>
        <w:rPr>
          <w:rStyle w:val="NormalTok"/>
        </w:rPr>
        <w:t xml:space="preserve">  </w:t>
      </w:r>
      <w:r>
        <w:rPr>
          <w:rStyle w:val="DataTypeTok"/>
        </w:rPr>
        <w:t xml:space="preserve">"timestamp"</w:t>
      </w:r>
      <w:r>
        <w:rPr>
          <w:rStyle w:val="FunctionTok"/>
        </w:rPr>
        <w:t xml:space="preserve">:</w:t>
      </w:r>
      <w:r>
        <w:rPr>
          <w:rStyle w:val="NormalTok"/>
        </w:rPr>
        <w:t xml:space="preserve"> </w:t>
      </w:r>
      <w:r>
        <w:rPr>
          <w:rStyle w:val="StringTok"/>
        </w:rPr>
        <w:t xml:space="preserve">"2026-08-04T18:30:00Z"</w:t>
      </w:r>
      <w:r>
        <w:rPr>
          <w:rStyle w:val="FunctionTok"/>
        </w:rPr>
        <w:t xml:space="preserve">,</w:t>
      </w:r>
      <w:r>
        <w:br/>
      </w:r>
      <w:r>
        <w:rPr>
          <w:rStyle w:val="NormalTok"/>
        </w:rPr>
        <w:t xml:space="preserve">  </w:t>
      </w:r>
      <w:r>
        <w:rPr>
          <w:rStyle w:val="DataTypeTok"/>
        </w:rPr>
        <w:t xml:space="preserve">"stt_provider"</w:t>
      </w:r>
      <w:r>
        <w:rPr>
          <w:rStyle w:val="FunctionTok"/>
        </w:rPr>
        <w:t xml:space="preserve">:</w:t>
      </w:r>
      <w:r>
        <w:rPr>
          <w:rStyle w:val="NormalTok"/>
        </w:rPr>
        <w:t xml:space="preserve"> </w:t>
      </w:r>
      <w:r>
        <w:rPr>
          <w:rStyle w:val="StringTok"/>
        </w:rPr>
        <w:t xml:space="preserve">"provider_name"</w:t>
      </w:r>
      <w:r>
        <w:rPr>
          <w:rStyle w:val="FunctionTok"/>
        </w:rPr>
        <w:t xml:space="preserve">,</w:t>
      </w:r>
      <w:r>
        <w:br/>
      </w:r>
      <w:r>
        <w:rPr>
          <w:rStyle w:val="NormalTok"/>
        </w:rPr>
        <w:t xml:space="preserve">  </w:t>
      </w:r>
      <w:r>
        <w:rPr>
          <w:rStyle w:val="DataTypeTok"/>
        </w:rPr>
        <w:t xml:space="preserve">"stt_model"</w:t>
      </w:r>
      <w:r>
        <w:rPr>
          <w:rStyle w:val="FunctionTok"/>
        </w:rPr>
        <w:t xml:space="preserve">:</w:t>
      </w:r>
      <w:r>
        <w:rPr>
          <w:rStyle w:val="NormalTok"/>
        </w:rPr>
        <w:t xml:space="preserve"> </w:t>
      </w:r>
      <w:r>
        <w:rPr>
          <w:rStyle w:val="StringTok"/>
        </w:rPr>
        <w:t xml:space="preserve">"model_version"</w:t>
      </w:r>
      <w:r>
        <w:rPr>
          <w:rStyle w:val="FunctionTok"/>
        </w:rPr>
        <w:t xml:space="preserve">,</w:t>
      </w:r>
      <w:r>
        <w:br/>
      </w:r>
      <w:r>
        <w:rPr>
          <w:rStyle w:val="NormalTok"/>
        </w:rPr>
        <w:t xml:space="preserve">  </w:t>
      </w:r>
      <w:r>
        <w:rPr>
          <w:rStyle w:val="DataTypeTok"/>
        </w:rPr>
        <w:t xml:space="preserve">"original_transcript_hash"</w:t>
      </w:r>
      <w:r>
        <w:rPr>
          <w:rStyle w:val="FunctionTok"/>
        </w:rPr>
        <w:t xml:space="preserve">:</w:t>
      </w:r>
      <w:r>
        <w:rPr>
          <w:rStyle w:val="NormalTok"/>
        </w:rPr>
        <w:t xml:space="preserve"> </w:t>
      </w:r>
      <w:r>
        <w:rPr>
          <w:rStyle w:val="StringTok"/>
        </w:rPr>
        <w:t xml:space="preserve">"sha256..."</w:t>
      </w:r>
      <w:r>
        <w:rPr>
          <w:rStyle w:val="FunctionTok"/>
        </w:rPr>
        <w:t xml:space="preserve">,</w:t>
      </w:r>
      <w:r>
        <w:br/>
      </w:r>
      <w:r>
        <w:rPr>
          <w:rStyle w:val="NormalTok"/>
        </w:rPr>
        <w:t xml:space="preserve">  </w:t>
      </w:r>
      <w:r>
        <w:rPr>
          <w:rStyle w:val="DataTypeTok"/>
        </w:rPr>
        <w:t xml:space="preserve">"normalized_transcript"</w:t>
      </w:r>
      <w:r>
        <w:rPr>
          <w:rStyle w:val="FunctionTok"/>
        </w:rPr>
        <w:t xml:space="preserve">:</w:t>
      </w:r>
      <w:r>
        <w:rPr>
          <w:rStyle w:val="NormalTok"/>
        </w:rPr>
        <w:t xml:space="preserve"> </w:t>
      </w:r>
      <w:r>
        <w:rPr>
          <w:rStyle w:val="StringTok"/>
        </w:rPr>
        <w:t xml:space="preserve">"..."</w:t>
      </w:r>
      <w:r>
        <w:rPr>
          <w:rStyle w:val="FunctionTok"/>
        </w:rPr>
        <w:t xml:space="preserve">,</w:t>
      </w:r>
      <w:r>
        <w:br/>
      </w:r>
      <w:r>
        <w:rPr>
          <w:rStyle w:val="NormalTok"/>
        </w:rPr>
        <w:t xml:space="preserve">  </w:t>
      </w:r>
      <w:r>
        <w:rPr>
          <w:rStyle w:val="DataTypeTok"/>
        </w:rPr>
        <w:t xml:space="preserve">"media_asset_ids"</w:t>
      </w:r>
      <w:r>
        <w:rPr>
          <w:rStyle w:val="FunctionTok"/>
        </w:rPr>
        <w:t xml:space="preserve">:</w:t>
      </w:r>
      <w:r>
        <w:rPr>
          <w:rStyle w:val="NormalTok"/>
        </w:rPr>
        <w:t xml:space="preserve"> </w:t>
      </w:r>
      <w:r>
        <w:rPr>
          <w:rStyle w:val="OtherTok"/>
        </w:rPr>
        <w:t xml:space="preserve">[</w:t>
      </w:r>
      <w:r>
        <w:rPr>
          <w:rStyle w:val="StringTok"/>
        </w:rPr>
        <w:t xml:space="preserve">"IMG-1"</w:t>
      </w:r>
      <w:r>
        <w:rPr>
          <w:rStyle w:val="OtherTok"/>
        </w:rPr>
        <w:t xml:space="preserve">,</w:t>
      </w:r>
      <w:r>
        <w:rPr>
          <w:rStyle w:val="NormalTok"/>
        </w:rPr>
        <w:t xml:space="preserve"> </w:t>
      </w:r>
      <w:r>
        <w:rPr>
          <w:rStyle w:val="StringTok"/>
        </w:rPr>
        <w:t xml:space="preserve">"IMG-2"</w:t>
      </w:r>
      <w:r>
        <w:rPr>
          <w:rStyle w:val="OtherTok"/>
        </w:rPr>
        <w:t xml:space="preserve">]</w:t>
      </w:r>
      <w:r>
        <w:rPr>
          <w:rStyle w:val="FunctionTok"/>
        </w:rPr>
        <w:t xml:space="preserve">,</w:t>
      </w:r>
      <w:r>
        <w:br/>
      </w:r>
      <w:r>
        <w:rPr>
          <w:rStyle w:val="NormalTok"/>
        </w:rPr>
        <w:t xml:space="preserve">  </w:t>
      </w:r>
      <w:r>
        <w:rPr>
          <w:rStyle w:val="DataTypeTok"/>
        </w:rPr>
        <w:t xml:space="preserve">"multimodal_provider"</w:t>
      </w:r>
      <w:r>
        <w:rPr>
          <w:rStyle w:val="FunctionTok"/>
        </w:rPr>
        <w:t xml:space="preserve">:</w:t>
      </w:r>
      <w:r>
        <w:rPr>
          <w:rStyle w:val="NormalTok"/>
        </w:rPr>
        <w:t xml:space="preserve"> </w:t>
      </w:r>
      <w:r>
        <w:rPr>
          <w:rStyle w:val="StringTok"/>
        </w:rPr>
        <w:t xml:space="preserve">"provider_name"</w:t>
      </w:r>
      <w:r>
        <w:rPr>
          <w:rStyle w:val="FunctionTok"/>
        </w:rPr>
        <w:t xml:space="preserve">,</w:t>
      </w:r>
      <w:r>
        <w:br/>
      </w:r>
      <w:r>
        <w:rPr>
          <w:rStyle w:val="NormalTok"/>
        </w:rPr>
        <w:t xml:space="preserve">  </w:t>
      </w:r>
      <w:r>
        <w:rPr>
          <w:rStyle w:val="DataTypeTok"/>
        </w:rPr>
        <w:t xml:space="preserve">"multimodal_model"</w:t>
      </w:r>
      <w:r>
        <w:rPr>
          <w:rStyle w:val="FunctionTok"/>
        </w:rPr>
        <w:t xml:space="preserve">:</w:t>
      </w:r>
      <w:r>
        <w:rPr>
          <w:rStyle w:val="NormalTok"/>
        </w:rPr>
        <w:t xml:space="preserve"> </w:t>
      </w:r>
      <w:r>
        <w:rPr>
          <w:rStyle w:val="StringTok"/>
        </w:rPr>
        <w:t xml:space="preserve">"model_version"</w:t>
      </w:r>
      <w:r>
        <w:rPr>
          <w:rStyle w:val="FunctionTok"/>
        </w:rPr>
        <w:t xml:space="preserve">,</w:t>
      </w:r>
      <w:r>
        <w:br/>
      </w:r>
      <w:r>
        <w:rPr>
          <w:rStyle w:val="NormalTok"/>
        </w:rPr>
        <w:t xml:space="preserve">  </w:t>
      </w:r>
      <w:r>
        <w:rPr>
          <w:rStyle w:val="DataTypeTok"/>
        </w:rPr>
        <w:t xml:space="preserve">"prompt_version"</w:t>
      </w:r>
      <w:r>
        <w:rPr>
          <w:rStyle w:val="FunctionTok"/>
        </w:rPr>
        <w:t xml:space="preserve">:</w:t>
      </w:r>
      <w:r>
        <w:rPr>
          <w:rStyle w:val="NormalTok"/>
        </w:rPr>
        <w:t xml:space="preserve"> </w:t>
      </w:r>
      <w:r>
        <w:rPr>
          <w:rStyle w:val="StringTok"/>
        </w:rPr>
        <w:t xml:space="preserve">"diag-v12"</w:t>
      </w:r>
      <w:r>
        <w:rPr>
          <w:rStyle w:val="FunctionTok"/>
        </w:rPr>
        <w:t xml:space="preserve">,</w:t>
      </w:r>
      <w:r>
        <w:br/>
      </w:r>
      <w:r>
        <w:rPr>
          <w:rStyle w:val="NormalTok"/>
        </w:rPr>
        <w:t xml:space="preserve">  </w:t>
      </w:r>
      <w:r>
        <w:rPr>
          <w:rStyle w:val="DataTypeTok"/>
        </w:rPr>
        <w:t xml:space="preserve">"retrieved_source_ids"</w:t>
      </w:r>
      <w:r>
        <w:rPr>
          <w:rStyle w:val="FunctionTok"/>
        </w:rPr>
        <w:t xml:space="preserve">:</w:t>
      </w:r>
      <w:r>
        <w:rPr>
          <w:rStyle w:val="NormalTok"/>
        </w:rPr>
        <w:t xml:space="preserve"> </w:t>
      </w:r>
      <w:r>
        <w:rPr>
          <w:rStyle w:val="OtherTok"/>
        </w:rPr>
        <w:t xml:space="preserve">[</w:t>
      </w:r>
      <w:r>
        <w:rPr>
          <w:rStyle w:val="StringTok"/>
        </w:rPr>
        <w:t xml:space="preserve">"SRC-17"</w:t>
      </w:r>
      <w:r>
        <w:rPr>
          <w:rStyle w:val="OtherTok"/>
        </w:rPr>
        <w:t xml:space="preserve">,</w:t>
      </w:r>
      <w:r>
        <w:rPr>
          <w:rStyle w:val="NormalTok"/>
        </w:rPr>
        <w:t xml:space="preserve"> </w:t>
      </w:r>
      <w:r>
        <w:rPr>
          <w:rStyle w:val="StringTok"/>
        </w:rPr>
        <w:t xml:space="preserve">"SRC-22"</w:t>
      </w:r>
      <w:r>
        <w:rPr>
          <w:rStyle w:val="OtherTok"/>
        </w:rPr>
        <w:t xml:space="preserve">]</w:t>
      </w:r>
      <w:r>
        <w:rPr>
          <w:rStyle w:val="FunctionTok"/>
        </w:rPr>
        <w:t xml:space="preserve">,</w:t>
      </w:r>
      <w:r>
        <w:br/>
      </w:r>
      <w:r>
        <w:rPr>
          <w:rStyle w:val="NormalTok"/>
        </w:rPr>
        <w:t xml:space="preserve">  </w:t>
      </w:r>
      <w:r>
        <w:rPr>
          <w:rStyle w:val="DataTypeTok"/>
        </w:rPr>
        <w:t xml:space="preserve">"policy_rule_ids"</w:t>
      </w:r>
      <w:r>
        <w:rPr>
          <w:rStyle w:val="FunctionTok"/>
        </w:rPr>
        <w:t xml:space="preserve">:</w:t>
      </w:r>
      <w:r>
        <w:rPr>
          <w:rStyle w:val="NormalTok"/>
        </w:rPr>
        <w:t xml:space="preserve"> </w:t>
      </w:r>
      <w:r>
        <w:rPr>
          <w:rStyle w:val="OtherTok"/>
        </w:rPr>
        <w:t xml:space="preserve">[</w:t>
      </w:r>
      <w:r>
        <w:rPr>
          <w:rStyle w:val="StringTok"/>
        </w:rPr>
        <w:t xml:space="preserve">"RULE-44"</w:t>
      </w:r>
      <w:r>
        <w:rPr>
          <w:rStyle w:val="OtherTok"/>
        </w:rPr>
        <w:t xml:space="preserve">]</w:t>
      </w:r>
      <w:r>
        <w:rPr>
          <w:rStyle w:val="FunctionTok"/>
        </w:rPr>
        <w:t xml:space="preserve">,</w:t>
      </w:r>
      <w:r>
        <w:br/>
      </w:r>
      <w:r>
        <w:rPr>
          <w:rStyle w:val="NormalTok"/>
        </w:rPr>
        <w:t xml:space="preserve">  </w:t>
      </w:r>
      <w:r>
        <w:rPr>
          <w:rStyle w:val="DataTypeTok"/>
        </w:rPr>
        <w:t xml:space="preserve">"risk_level"</w:t>
      </w:r>
      <w:r>
        <w:rPr>
          <w:rStyle w:val="FunctionTok"/>
        </w:rPr>
        <w:t xml:space="preserve">:</w:t>
      </w:r>
      <w:r>
        <w:rPr>
          <w:rStyle w:val="NormalTok"/>
        </w:rPr>
        <w:t xml:space="preserve"> </w:t>
      </w:r>
      <w:r>
        <w:rPr>
          <w:rStyle w:val="StringTok"/>
        </w:rPr>
        <w:t xml:space="preserve">"medium"</w:t>
      </w:r>
      <w:r>
        <w:rPr>
          <w:rStyle w:val="FunctionTok"/>
        </w:rPr>
        <w:t xml:space="preserve">,</w:t>
      </w:r>
      <w:r>
        <w:br/>
      </w:r>
      <w:r>
        <w:rPr>
          <w:rStyle w:val="NormalTok"/>
        </w:rPr>
        <w:t xml:space="preserve">  </w:t>
      </w:r>
      <w:r>
        <w:rPr>
          <w:rStyle w:val="DataTypeTok"/>
        </w:rPr>
        <w:t xml:space="preserve">"confidence_level"</w:t>
      </w:r>
      <w:r>
        <w:rPr>
          <w:rStyle w:val="FunctionTok"/>
        </w:rPr>
        <w:t xml:space="preserve">:</w:t>
      </w:r>
      <w:r>
        <w:rPr>
          <w:rStyle w:val="NormalTok"/>
        </w:rPr>
        <w:t xml:space="preserve"> </w:t>
      </w:r>
      <w:r>
        <w:rPr>
          <w:rStyle w:val="StringTok"/>
        </w:rPr>
        <w:t xml:space="preserve">"medium"</w:t>
      </w:r>
      <w:r>
        <w:rPr>
          <w:rStyle w:val="FunctionTok"/>
        </w:rPr>
        <w:t xml:space="preserve">,</w:t>
      </w:r>
      <w:r>
        <w:br/>
      </w:r>
      <w:r>
        <w:rPr>
          <w:rStyle w:val="NormalTok"/>
        </w:rPr>
        <w:t xml:space="preserve">  </w:t>
      </w:r>
      <w:r>
        <w:rPr>
          <w:rStyle w:val="DataTypeTok"/>
        </w:rPr>
        <w:t xml:space="preserve">"decision"</w:t>
      </w:r>
      <w:r>
        <w:rPr>
          <w:rStyle w:val="FunctionTok"/>
        </w:rPr>
        <w:t xml:space="preserve">:</w:t>
      </w:r>
      <w:r>
        <w:rPr>
          <w:rStyle w:val="NormalTok"/>
        </w:rPr>
        <w:t xml:space="preserve"> </w:t>
      </w:r>
      <w:r>
        <w:rPr>
          <w:rStyle w:val="StringTok"/>
        </w:rPr>
        <w:t xml:space="preserve">"request_more_evidence"</w:t>
      </w:r>
      <w:r>
        <w:rPr>
          <w:rStyle w:val="FunctionTok"/>
        </w:rPr>
        <w:t xml:space="preserve">,</w:t>
      </w:r>
      <w:r>
        <w:br/>
      </w:r>
      <w:r>
        <w:rPr>
          <w:rStyle w:val="NormalTok"/>
        </w:rPr>
        <w:t xml:space="preserve">  </w:t>
      </w:r>
      <w:r>
        <w:rPr>
          <w:rStyle w:val="DataTypeTok"/>
        </w:rPr>
        <w:t xml:space="preserve">"response_text"</w:t>
      </w:r>
      <w:r>
        <w:rPr>
          <w:rStyle w:val="FunctionTok"/>
        </w:rPr>
        <w:t xml:space="preserve">:</w:t>
      </w:r>
      <w:r>
        <w:rPr>
          <w:rStyle w:val="NormalTok"/>
        </w:rPr>
        <w:t xml:space="preserve"> </w:t>
      </w:r>
      <w:r>
        <w:rPr>
          <w:rStyle w:val="StringTok"/>
        </w:rPr>
        <w:t xml:space="preserve">"..."</w:t>
      </w:r>
      <w:r>
        <w:rPr>
          <w:rStyle w:val="FunctionTok"/>
        </w:rPr>
        <w:t xml:space="preserve">,</w:t>
      </w:r>
      <w:r>
        <w:br/>
      </w:r>
      <w:r>
        <w:rPr>
          <w:rStyle w:val="NormalTok"/>
        </w:rPr>
        <w:t xml:space="preserve">  </w:t>
      </w:r>
      <w:r>
        <w:rPr>
          <w:rStyle w:val="DataTypeTok"/>
        </w:rPr>
        <w:t xml:space="preserve">"tts_provider"</w:t>
      </w:r>
      <w:r>
        <w:rPr>
          <w:rStyle w:val="FunctionTok"/>
        </w:rPr>
        <w:t xml:space="preserve">:</w:t>
      </w:r>
      <w:r>
        <w:rPr>
          <w:rStyle w:val="NormalTok"/>
        </w:rPr>
        <w:t xml:space="preserve"> </w:t>
      </w:r>
      <w:r>
        <w:rPr>
          <w:rStyle w:val="StringTok"/>
        </w:rPr>
        <w:t xml:space="preserve">"provider_name"</w:t>
      </w:r>
      <w:r>
        <w:rPr>
          <w:rStyle w:val="FunctionTok"/>
        </w:rPr>
        <w:t xml:space="preserve">,</w:t>
      </w:r>
      <w:r>
        <w:br/>
      </w:r>
      <w:r>
        <w:rPr>
          <w:rStyle w:val="NormalTok"/>
        </w:rPr>
        <w:t xml:space="preserve">  </w:t>
      </w:r>
      <w:r>
        <w:rPr>
          <w:rStyle w:val="DataTypeTok"/>
        </w:rPr>
        <w:t xml:space="preserve">"workflow_version"</w:t>
      </w:r>
      <w:r>
        <w:rPr>
          <w:rStyle w:val="FunctionTok"/>
        </w:rPr>
        <w:t xml:space="preserve">:</w:t>
      </w:r>
      <w:r>
        <w:rPr>
          <w:rStyle w:val="NormalTok"/>
        </w:rPr>
        <w:t xml:space="preserve"> </w:t>
      </w:r>
      <w:r>
        <w:rPr>
          <w:rStyle w:val="StringTok"/>
        </w:rPr>
        <w:t xml:space="preserve">"graph-v8"</w:t>
      </w:r>
      <w:r>
        <w:rPr>
          <w:rStyle w:val="FunctionTok"/>
        </w:rPr>
        <w:t xml:space="preserve">,</w:t>
      </w:r>
      <w:r>
        <w:br/>
      </w:r>
      <w:r>
        <w:rPr>
          <w:rStyle w:val="NormalTok"/>
        </w:rPr>
        <w:t xml:space="preserve">  </w:t>
      </w:r>
      <w:r>
        <w:rPr>
          <w:rStyle w:val="DataTypeTok"/>
        </w:rPr>
        <w:t xml:space="preserve">"officer_review_required"</w:t>
      </w:r>
      <w:r>
        <w:rPr>
          <w:rStyle w:val="FunctionTok"/>
        </w:rPr>
        <w:t xml:space="preserve">:</w:t>
      </w:r>
      <w:r>
        <w:rPr>
          <w:rStyle w:val="NormalTok"/>
        </w:rPr>
        <w:t xml:space="preserve"> </w:t>
      </w:r>
      <w:r>
        <w:rPr>
          <w:rStyle w:val="KeywordTok"/>
        </w:rPr>
        <w:t xml:space="preserve">false</w:t>
      </w:r>
      <w:r>
        <w:br/>
      </w:r>
      <w:r>
        <w:rPr>
          <w:rStyle w:val="FunctionTok"/>
        </w:rPr>
        <w:t xml:space="preserve">}</w:t>
      </w:r>
    </w:p>
    <w:bookmarkEnd w:id="109"/>
    <w:bookmarkStart w:id="110" w:name="operational-telemetry"/>
    <w:p>
      <w:pPr>
        <w:pStyle w:val="Heading2"/>
      </w:pPr>
      <w:r>
        <w:t xml:space="preserve">19.2 Operational telemetry</w:t>
      </w:r>
    </w:p>
    <w:p>
      <w:pPr>
        <w:pStyle w:val="FirstParagraph"/>
      </w:pPr>
      <w:r>
        <w:t xml:space="preserve">Use OpenTelemetry-compatible traces across:</w:t>
      </w:r>
    </w:p>
    <w:p>
      <w:pPr>
        <w:pStyle w:val="Compact"/>
        <w:numPr>
          <w:ilvl w:val="0"/>
          <w:numId w:val="1061"/>
        </w:numPr>
      </w:pPr>
      <w:r>
        <w:t xml:space="preserve">LiveKit session;</w:t>
      </w:r>
    </w:p>
    <w:p>
      <w:pPr>
        <w:pStyle w:val="Compact"/>
        <w:numPr>
          <w:ilvl w:val="0"/>
          <w:numId w:val="1061"/>
        </w:numPr>
      </w:pPr>
      <w:r>
        <w:t xml:space="preserve">STT;</w:t>
      </w:r>
    </w:p>
    <w:p>
      <w:pPr>
        <w:pStyle w:val="Compact"/>
        <w:numPr>
          <w:ilvl w:val="0"/>
          <w:numId w:val="1061"/>
        </w:numPr>
      </w:pPr>
      <w:r>
        <w:t xml:space="preserve">transcript normalization;</w:t>
      </w:r>
    </w:p>
    <w:p>
      <w:pPr>
        <w:pStyle w:val="Compact"/>
        <w:numPr>
          <w:ilvl w:val="0"/>
          <w:numId w:val="1061"/>
        </w:numPr>
      </w:pPr>
      <w:r>
        <w:t xml:space="preserve">LangGraph nodes;</w:t>
      </w:r>
    </w:p>
    <w:p>
      <w:pPr>
        <w:pStyle w:val="Compact"/>
        <w:numPr>
          <w:ilvl w:val="0"/>
          <w:numId w:val="1061"/>
        </w:numPr>
      </w:pPr>
      <w:r>
        <w:t xml:space="preserve">RAG;</w:t>
      </w:r>
    </w:p>
    <w:p>
      <w:pPr>
        <w:pStyle w:val="Compact"/>
        <w:numPr>
          <w:ilvl w:val="0"/>
          <w:numId w:val="1061"/>
        </w:numPr>
      </w:pPr>
      <w:r>
        <w:t xml:space="preserve">policy engine;</w:t>
      </w:r>
    </w:p>
    <w:p>
      <w:pPr>
        <w:pStyle w:val="Compact"/>
        <w:numPr>
          <w:ilvl w:val="0"/>
          <w:numId w:val="1061"/>
        </w:numPr>
      </w:pPr>
      <w:r>
        <w:t xml:space="preserve">model gateway;</w:t>
      </w:r>
    </w:p>
    <w:p>
      <w:pPr>
        <w:pStyle w:val="Compact"/>
        <w:numPr>
          <w:ilvl w:val="0"/>
          <w:numId w:val="1061"/>
        </w:numPr>
      </w:pPr>
      <w:r>
        <w:t xml:space="preserve">TTS;</w:t>
      </w:r>
    </w:p>
    <w:p>
      <w:pPr>
        <w:pStyle w:val="Compact"/>
        <w:numPr>
          <w:ilvl w:val="0"/>
          <w:numId w:val="1061"/>
        </w:numPr>
      </w:pPr>
      <w:r>
        <w:t xml:space="preserve">database operations.</w:t>
      </w:r>
    </w:p>
    <w:bookmarkEnd w:id="110"/>
    <w:bookmarkStart w:id="111" w:name="dashboards"/>
    <w:p>
      <w:pPr>
        <w:pStyle w:val="Heading2"/>
      </w:pPr>
      <w:r>
        <w:t xml:space="preserve">19.3 Dashboards</w:t>
      </w:r>
    </w:p>
    <w:p>
      <w:pPr>
        <w:pStyle w:val="FirstParagraph"/>
      </w:pPr>
      <w:r>
        <w:t xml:space="preserve">Create dashboards for:</w:t>
      </w:r>
    </w:p>
    <w:p>
      <w:pPr>
        <w:pStyle w:val="Compact"/>
        <w:numPr>
          <w:ilvl w:val="0"/>
          <w:numId w:val="1062"/>
        </w:numPr>
      </w:pPr>
      <w:r>
        <w:t xml:space="preserve">concurrent sessions;</w:t>
      </w:r>
    </w:p>
    <w:p>
      <w:pPr>
        <w:pStyle w:val="Compact"/>
        <w:numPr>
          <w:ilvl w:val="0"/>
          <w:numId w:val="1062"/>
        </w:numPr>
      </w:pPr>
      <w:r>
        <w:t xml:space="preserve">connection failures;</w:t>
      </w:r>
    </w:p>
    <w:p>
      <w:pPr>
        <w:pStyle w:val="Compact"/>
        <w:numPr>
          <w:ilvl w:val="0"/>
          <w:numId w:val="1062"/>
        </w:numPr>
      </w:pPr>
      <w:r>
        <w:t xml:space="preserve">STT latency;</w:t>
      </w:r>
    </w:p>
    <w:p>
      <w:pPr>
        <w:pStyle w:val="Compact"/>
        <w:numPr>
          <w:ilvl w:val="0"/>
          <w:numId w:val="1062"/>
        </w:numPr>
      </w:pPr>
      <w:r>
        <w:t xml:space="preserve">STT confidence;</w:t>
      </w:r>
    </w:p>
    <w:p>
      <w:pPr>
        <w:pStyle w:val="Compact"/>
        <w:numPr>
          <w:ilvl w:val="0"/>
          <w:numId w:val="1062"/>
        </w:numPr>
      </w:pPr>
      <w:r>
        <w:t xml:space="preserve">model latency;</w:t>
      </w:r>
    </w:p>
    <w:p>
      <w:pPr>
        <w:pStyle w:val="Compact"/>
        <w:numPr>
          <w:ilvl w:val="0"/>
          <w:numId w:val="1062"/>
        </w:numPr>
      </w:pPr>
      <w:r>
        <w:t xml:space="preserve">RAG latency;</w:t>
      </w:r>
    </w:p>
    <w:p>
      <w:pPr>
        <w:pStyle w:val="Compact"/>
        <w:numPr>
          <w:ilvl w:val="0"/>
          <w:numId w:val="1062"/>
        </w:numPr>
      </w:pPr>
      <w:r>
        <w:t xml:space="preserve">retrieval-source distribution;</w:t>
      </w:r>
    </w:p>
    <w:p>
      <w:pPr>
        <w:pStyle w:val="Compact"/>
        <w:numPr>
          <w:ilvl w:val="0"/>
          <w:numId w:val="1062"/>
        </w:numPr>
      </w:pPr>
      <w:r>
        <w:t xml:space="preserve">policy-rule failures;</w:t>
      </w:r>
    </w:p>
    <w:p>
      <w:pPr>
        <w:pStyle w:val="Compact"/>
        <w:numPr>
          <w:ilvl w:val="0"/>
          <w:numId w:val="1062"/>
        </w:numPr>
      </w:pPr>
      <w:r>
        <w:t xml:space="preserve">escalations;</w:t>
      </w:r>
    </w:p>
    <w:p>
      <w:pPr>
        <w:pStyle w:val="Compact"/>
        <w:numPr>
          <w:ilvl w:val="0"/>
          <w:numId w:val="1062"/>
        </w:numPr>
      </w:pPr>
      <w:r>
        <w:t xml:space="preserve">unsafe-output blocks;</w:t>
      </w:r>
    </w:p>
    <w:p>
      <w:pPr>
        <w:pStyle w:val="Compact"/>
        <w:numPr>
          <w:ilvl w:val="0"/>
          <w:numId w:val="1062"/>
        </w:numPr>
      </w:pPr>
      <w:r>
        <w:t xml:space="preserve">cost per case;</w:t>
      </w:r>
    </w:p>
    <w:p>
      <w:pPr>
        <w:pStyle w:val="Compact"/>
        <w:numPr>
          <w:ilvl w:val="0"/>
          <w:numId w:val="1062"/>
        </w:numPr>
      </w:pPr>
      <w:r>
        <w:t xml:space="preserve">error rate by district;</w:t>
      </w:r>
    </w:p>
    <w:p>
      <w:pPr>
        <w:pStyle w:val="Compact"/>
        <w:numPr>
          <w:ilvl w:val="0"/>
          <w:numId w:val="1062"/>
        </w:numPr>
      </w:pPr>
      <w:r>
        <w:t xml:space="preserve">diagnosis agreement;</w:t>
      </w:r>
    </w:p>
    <w:p>
      <w:pPr>
        <w:pStyle w:val="Compact"/>
        <w:numPr>
          <w:ilvl w:val="0"/>
          <w:numId w:val="1062"/>
        </w:numPr>
      </w:pPr>
      <w:r>
        <w:t xml:space="preserve">farmer session completion.</w:t>
      </w:r>
    </w:p>
    <w:p>
      <w:r>
        <w:pict>
          <v:rect style="width:0;height:1.5pt" o:hralign="center" o:hrstd="t" o:hr="t"/>
        </w:pict>
      </w:r>
    </w:p>
    <w:bookmarkEnd w:id="111"/>
    <w:bookmarkEnd w:id="112"/>
    <w:bookmarkStart w:id="114" w:name="analytics-and-outbreak-intelligence"/>
    <w:p>
      <w:pPr>
        <w:pStyle w:val="Heading1"/>
      </w:pPr>
      <w:r>
        <w:t xml:space="preserve">20. Analytics and outbreak intelligence</w:t>
      </w:r>
    </w:p>
    <w:p>
      <w:pPr>
        <w:pStyle w:val="FirstParagraph"/>
      </w:pPr>
      <w:r>
        <w:t xml:space="preserve">Do not generate outbreak alerts directly from raw model diagnoses.</w:t>
      </w:r>
    </w:p>
    <w:bookmarkStart w:id="113" w:name="required-pipeline"/>
    <w:p>
      <w:pPr>
        <w:pStyle w:val="Heading2"/>
      </w:pPr>
      <w:r>
        <w:t xml:space="preserve">Required pipeline</w:t>
      </w:r>
    </w:p>
    <w:p>
      <w:pPr>
        <w:pStyle w:val="SourceCode"/>
      </w:pPr>
      <w:r>
        <w:rPr>
          <w:rStyle w:val="VerbatimChar"/>
        </w:rPr>
        <w:t xml:space="preserve">Individual cases</w:t>
      </w:r>
      <w:r>
        <w:br/>
      </w:r>
      <w:r>
        <w:rPr>
          <w:rStyle w:val="VerbatimChar"/>
        </w:rPr>
        <w:t xml:space="preserve">    ↓</w:t>
      </w:r>
      <w:r>
        <w:br/>
      </w:r>
      <w:r>
        <w:rPr>
          <w:rStyle w:val="VerbatimChar"/>
        </w:rPr>
        <w:t xml:space="preserve">Quality and confidence filtering</w:t>
      </w:r>
      <w:r>
        <w:br/>
      </w:r>
      <w:r>
        <w:rPr>
          <w:rStyle w:val="VerbatimChar"/>
        </w:rPr>
        <w:t xml:space="preserve">    ↓</w:t>
      </w:r>
      <w:r>
        <w:br/>
      </w:r>
      <w:r>
        <w:rPr>
          <w:rStyle w:val="VerbatimChar"/>
        </w:rPr>
        <w:t xml:space="preserve">Duplicate suppression</w:t>
      </w:r>
      <w:r>
        <w:br/>
      </w:r>
      <w:r>
        <w:rPr>
          <w:rStyle w:val="VerbatimChar"/>
        </w:rPr>
        <w:t xml:space="preserve">    ↓</w:t>
      </w:r>
      <w:r>
        <w:br/>
      </w:r>
      <w:r>
        <w:rPr>
          <w:rStyle w:val="VerbatimChar"/>
        </w:rPr>
        <w:t xml:space="preserve">Geospatial aggregation</w:t>
      </w:r>
      <w:r>
        <w:br/>
      </w:r>
      <w:r>
        <w:rPr>
          <w:rStyle w:val="VerbatimChar"/>
        </w:rPr>
        <w:t xml:space="preserve">    ↓</w:t>
      </w:r>
      <w:r>
        <w:br/>
      </w:r>
      <w:r>
        <w:rPr>
          <w:rStyle w:val="VerbatimChar"/>
        </w:rPr>
        <w:t xml:space="preserve">Baseline comparison</w:t>
      </w:r>
      <w:r>
        <w:br/>
      </w:r>
      <w:r>
        <w:rPr>
          <w:rStyle w:val="VerbatimChar"/>
        </w:rPr>
        <w:t xml:space="preserve">    ↓</w:t>
      </w:r>
      <w:r>
        <w:br/>
      </w:r>
      <w:r>
        <w:rPr>
          <w:rStyle w:val="VerbatimChar"/>
        </w:rPr>
        <w:t xml:space="preserve">Anomaly detection</w:t>
      </w:r>
      <w:r>
        <w:br/>
      </w:r>
      <w:r>
        <w:rPr>
          <w:rStyle w:val="VerbatimChar"/>
        </w:rPr>
        <w:t xml:space="preserve">    ↓</w:t>
      </w:r>
      <w:r>
        <w:br/>
      </w:r>
      <w:r>
        <w:rPr>
          <w:rStyle w:val="VerbatimChar"/>
        </w:rPr>
        <w:t xml:space="preserve">Agronomist review</w:t>
      </w:r>
      <w:r>
        <w:br/>
      </w:r>
      <w:r>
        <w:rPr>
          <w:rStyle w:val="VerbatimChar"/>
        </w:rPr>
        <w:t xml:space="preserve">    ↓</w:t>
      </w:r>
      <w:r>
        <w:br/>
      </w:r>
      <w:r>
        <w:rPr>
          <w:rStyle w:val="VerbatimChar"/>
        </w:rPr>
        <w:t xml:space="preserve">Departmental alert</w:t>
      </w:r>
    </w:p>
    <w:p>
      <w:pPr>
        <w:pStyle w:val="FirstParagraph"/>
      </w:pPr>
      <w:r>
        <w:t xml:space="preserve">Use PostGIS for:</w:t>
      </w:r>
    </w:p>
    <w:p>
      <w:pPr>
        <w:pStyle w:val="Compact"/>
        <w:numPr>
          <w:ilvl w:val="0"/>
          <w:numId w:val="1063"/>
        </w:numPr>
      </w:pPr>
      <w:r>
        <w:t xml:space="preserve">district clustering;</w:t>
      </w:r>
    </w:p>
    <w:p>
      <w:pPr>
        <w:pStyle w:val="Compact"/>
        <w:numPr>
          <w:ilvl w:val="0"/>
          <w:numId w:val="1063"/>
        </w:numPr>
      </w:pPr>
      <w:r>
        <w:t xml:space="preserve">field proximity;</w:t>
      </w:r>
    </w:p>
    <w:p>
      <w:pPr>
        <w:pStyle w:val="Compact"/>
        <w:numPr>
          <w:ilvl w:val="0"/>
          <w:numId w:val="1063"/>
        </w:numPr>
      </w:pPr>
      <w:r>
        <w:t xml:space="preserve">spatial heat maps;</w:t>
      </w:r>
    </w:p>
    <w:p>
      <w:pPr>
        <w:pStyle w:val="Compact"/>
        <w:numPr>
          <w:ilvl w:val="0"/>
          <w:numId w:val="1063"/>
        </w:numPr>
      </w:pPr>
      <w:r>
        <w:t xml:space="preserve">temporal spread;</w:t>
      </w:r>
    </w:p>
    <w:p>
      <w:pPr>
        <w:pStyle w:val="Compact"/>
        <w:numPr>
          <w:ilvl w:val="0"/>
          <w:numId w:val="1063"/>
        </w:numPr>
      </w:pPr>
      <w:r>
        <w:t xml:space="preserve">crop-specific incidence.</w:t>
      </w:r>
    </w:p>
    <w:p>
      <w:pPr>
        <w:pStyle w:val="FirstParagraph"/>
      </w:pPr>
      <w:r>
        <w:t xml:space="preserve">Outbreak signals should be based on verified or sufficiently supported cases, not every farmer interaction.</w:t>
      </w:r>
    </w:p>
    <w:p>
      <w:r>
        <w:pict>
          <v:rect style="width:0;height:1.5pt" o:hralign="center" o:hrstd="t" o:hr="t"/>
        </w:pict>
      </w:r>
    </w:p>
    <w:bookmarkEnd w:id="113"/>
    <w:bookmarkEnd w:id="114"/>
    <w:bookmarkStart w:id="125" w:name="evaluation-and-mlops"/>
    <w:p>
      <w:pPr>
        <w:pStyle w:val="Heading1"/>
      </w:pPr>
      <w:r>
        <w:t xml:space="preserve">21. Evaluation and MLOps</w:t>
      </w:r>
    </w:p>
    <w:bookmarkStart w:id="115" w:name="urdu-speech-dataset"/>
    <w:p>
      <w:pPr>
        <w:pStyle w:val="Heading2"/>
      </w:pPr>
      <w:r>
        <w:t xml:space="preserve">21.1 Urdu speech dataset</w:t>
      </w:r>
    </w:p>
    <w:p>
      <w:pPr>
        <w:pStyle w:val="FirstParagraph"/>
      </w:pPr>
      <w:r>
        <w:t xml:space="preserve">Create a consented evaluation set covering:</w:t>
      </w:r>
    </w:p>
    <w:p>
      <w:pPr>
        <w:pStyle w:val="Compact"/>
        <w:numPr>
          <w:ilvl w:val="0"/>
          <w:numId w:val="1064"/>
        </w:numPr>
      </w:pPr>
      <w:r>
        <w:t xml:space="preserve">male and female speakers;</w:t>
      </w:r>
    </w:p>
    <w:p>
      <w:pPr>
        <w:pStyle w:val="Compact"/>
        <w:numPr>
          <w:ilvl w:val="0"/>
          <w:numId w:val="1064"/>
        </w:numPr>
      </w:pPr>
      <w:r>
        <w:t xml:space="preserve">multiple age groups;</w:t>
      </w:r>
    </w:p>
    <w:p>
      <w:pPr>
        <w:pStyle w:val="Compact"/>
        <w:numPr>
          <w:ilvl w:val="0"/>
          <w:numId w:val="1064"/>
        </w:numPr>
      </w:pPr>
      <w:r>
        <w:t xml:space="preserve">Multan/Saraiki-influenced Urdu;</w:t>
      </w:r>
    </w:p>
    <w:p>
      <w:pPr>
        <w:pStyle w:val="Compact"/>
        <w:numPr>
          <w:ilvl w:val="0"/>
          <w:numId w:val="1064"/>
        </w:numPr>
      </w:pPr>
      <w:r>
        <w:t xml:space="preserve">central Punjab accents;</w:t>
      </w:r>
    </w:p>
    <w:p>
      <w:pPr>
        <w:pStyle w:val="Compact"/>
        <w:numPr>
          <w:ilvl w:val="0"/>
          <w:numId w:val="1064"/>
        </w:numPr>
      </w:pPr>
      <w:r>
        <w:t xml:space="preserve">Potohari-influenced Urdu;</w:t>
      </w:r>
    </w:p>
    <w:p>
      <w:pPr>
        <w:pStyle w:val="Compact"/>
        <w:numPr>
          <w:ilvl w:val="0"/>
          <w:numId w:val="1064"/>
        </w:numPr>
      </w:pPr>
      <w:r>
        <w:t xml:space="preserve">rural noise;</w:t>
      </w:r>
    </w:p>
    <w:p>
      <w:pPr>
        <w:pStyle w:val="Compact"/>
        <w:numPr>
          <w:ilvl w:val="0"/>
          <w:numId w:val="1064"/>
        </w:numPr>
      </w:pPr>
      <w:r>
        <w:t xml:space="preserve">machinery;</w:t>
      </w:r>
    </w:p>
    <w:p>
      <w:pPr>
        <w:pStyle w:val="Compact"/>
        <w:numPr>
          <w:ilvl w:val="0"/>
          <w:numId w:val="1064"/>
        </w:numPr>
      </w:pPr>
      <w:r>
        <w:t xml:space="preserve">wind;</w:t>
      </w:r>
    </w:p>
    <w:p>
      <w:pPr>
        <w:pStyle w:val="Compact"/>
        <w:numPr>
          <w:ilvl w:val="0"/>
          <w:numId w:val="1064"/>
        </w:numPr>
      </w:pPr>
      <w:r>
        <w:t xml:space="preserve">phone speaker echo;</w:t>
      </w:r>
    </w:p>
    <w:p>
      <w:pPr>
        <w:pStyle w:val="Compact"/>
        <w:numPr>
          <w:ilvl w:val="0"/>
          <w:numId w:val="1064"/>
        </w:numPr>
      </w:pPr>
      <w:r>
        <w:t xml:space="preserve">low-cost microphones;</w:t>
      </w:r>
    </w:p>
    <w:p>
      <w:pPr>
        <w:pStyle w:val="Compact"/>
        <w:numPr>
          <w:ilvl w:val="0"/>
          <w:numId w:val="1064"/>
        </w:numPr>
      </w:pPr>
      <w:r>
        <w:t xml:space="preserve">Urdu-English code-switching;</w:t>
      </w:r>
    </w:p>
    <w:p>
      <w:pPr>
        <w:pStyle w:val="Compact"/>
        <w:numPr>
          <w:ilvl w:val="0"/>
          <w:numId w:val="1064"/>
        </w:numPr>
      </w:pPr>
      <w:r>
        <w:t xml:space="preserve">chemical names;</w:t>
      </w:r>
    </w:p>
    <w:p>
      <w:pPr>
        <w:pStyle w:val="Compact"/>
        <w:numPr>
          <w:ilvl w:val="0"/>
          <w:numId w:val="1064"/>
        </w:numPr>
      </w:pPr>
      <w:r>
        <w:t xml:space="preserve">numbers and units.</w:t>
      </w:r>
    </w:p>
    <w:bookmarkEnd w:id="115"/>
    <w:bookmarkStart w:id="116" w:name="agricultural-vision-dataset"/>
    <w:p>
      <w:pPr>
        <w:pStyle w:val="Heading2"/>
      </w:pPr>
      <w:r>
        <w:t xml:space="preserve">21.2 Agricultural vision dataset</w:t>
      </w:r>
    </w:p>
    <w:p>
      <w:pPr>
        <w:pStyle w:val="FirstParagraph"/>
      </w:pPr>
      <w:r>
        <w:t xml:space="preserve">Include:</w:t>
      </w:r>
    </w:p>
    <w:p>
      <w:pPr>
        <w:pStyle w:val="Compact"/>
        <w:numPr>
          <w:ilvl w:val="0"/>
          <w:numId w:val="1065"/>
        </w:numPr>
      </w:pPr>
      <w:r>
        <w:t xml:space="preserve">expert-confirmed cases;</w:t>
      </w:r>
    </w:p>
    <w:p>
      <w:pPr>
        <w:pStyle w:val="Compact"/>
        <w:numPr>
          <w:ilvl w:val="0"/>
          <w:numId w:val="1065"/>
        </w:numPr>
      </w:pPr>
      <w:r>
        <w:t xml:space="preserve">healthy controls;</w:t>
      </w:r>
    </w:p>
    <w:p>
      <w:pPr>
        <w:pStyle w:val="Compact"/>
        <w:numPr>
          <w:ilvl w:val="0"/>
          <w:numId w:val="1065"/>
        </w:numPr>
      </w:pPr>
      <w:r>
        <w:t xml:space="preserve">visually similar conditions;</w:t>
      </w:r>
    </w:p>
    <w:p>
      <w:pPr>
        <w:pStyle w:val="Compact"/>
        <w:numPr>
          <w:ilvl w:val="0"/>
          <w:numId w:val="1065"/>
        </w:numPr>
      </w:pPr>
      <w:r>
        <w:t xml:space="preserve">multiple disease stages;</w:t>
      </w:r>
    </w:p>
    <w:p>
      <w:pPr>
        <w:pStyle w:val="Compact"/>
        <w:numPr>
          <w:ilvl w:val="0"/>
          <w:numId w:val="1065"/>
        </w:numPr>
      </w:pPr>
      <w:r>
        <w:t xml:space="preserve">multiple phone types;</w:t>
      </w:r>
    </w:p>
    <w:p>
      <w:pPr>
        <w:pStyle w:val="Compact"/>
        <w:numPr>
          <w:ilvl w:val="0"/>
          <w:numId w:val="1065"/>
        </w:numPr>
      </w:pPr>
      <w:r>
        <w:t xml:space="preserve">different lighting;</w:t>
      </w:r>
    </w:p>
    <w:p>
      <w:pPr>
        <w:pStyle w:val="Compact"/>
        <w:numPr>
          <w:ilvl w:val="0"/>
          <w:numId w:val="1065"/>
        </w:numPr>
      </w:pPr>
      <w:r>
        <w:t xml:space="preserve">blurry and invalid images;</w:t>
      </w:r>
    </w:p>
    <w:p>
      <w:pPr>
        <w:pStyle w:val="Compact"/>
        <w:numPr>
          <w:ilvl w:val="0"/>
          <w:numId w:val="1065"/>
        </w:numPr>
      </w:pPr>
      <w:r>
        <w:t xml:space="preserve">multiple crop varieties;</w:t>
      </w:r>
    </w:p>
    <w:p>
      <w:pPr>
        <w:pStyle w:val="Compact"/>
        <w:numPr>
          <w:ilvl w:val="0"/>
          <w:numId w:val="1065"/>
        </w:numPr>
      </w:pPr>
      <w:r>
        <w:t xml:space="preserve">unseen farms;</w:t>
      </w:r>
    </w:p>
    <w:p>
      <w:pPr>
        <w:pStyle w:val="Compact"/>
        <w:numPr>
          <w:ilvl w:val="0"/>
          <w:numId w:val="1065"/>
        </w:numPr>
      </w:pPr>
      <w:r>
        <w:t xml:space="preserve">ambiguous cases;</w:t>
      </w:r>
    </w:p>
    <w:p>
      <w:pPr>
        <w:pStyle w:val="Compact"/>
        <w:numPr>
          <w:ilvl w:val="0"/>
          <w:numId w:val="1065"/>
        </w:numPr>
      </w:pPr>
      <w:r>
        <w:t xml:space="preserve">environmental and spray damage.</w:t>
      </w:r>
    </w:p>
    <w:bookmarkEnd w:id="116"/>
    <w:bookmarkStart w:id="122" w:name="evaluation-metrics"/>
    <w:p>
      <w:pPr>
        <w:pStyle w:val="Heading2"/>
      </w:pPr>
      <w:r>
        <w:t xml:space="preserve">21.3 Evaluation metrics</w:t>
      </w:r>
    </w:p>
    <w:bookmarkStart w:id="117" w:name="stt"/>
    <w:p>
      <w:pPr>
        <w:pStyle w:val="Heading3"/>
      </w:pPr>
      <w:r>
        <w:t xml:space="preserve">STT</w:t>
      </w:r>
    </w:p>
    <w:p>
      <w:pPr>
        <w:pStyle w:val="Compact"/>
        <w:numPr>
          <w:ilvl w:val="0"/>
          <w:numId w:val="1066"/>
        </w:numPr>
      </w:pPr>
      <w:r>
        <w:t xml:space="preserve">word error rate;</w:t>
      </w:r>
    </w:p>
    <w:p>
      <w:pPr>
        <w:pStyle w:val="Compact"/>
        <w:numPr>
          <w:ilvl w:val="0"/>
          <w:numId w:val="1066"/>
        </w:numPr>
      </w:pPr>
      <w:r>
        <w:t xml:space="preserve">entity error rate;</w:t>
      </w:r>
    </w:p>
    <w:p>
      <w:pPr>
        <w:pStyle w:val="Compact"/>
        <w:numPr>
          <w:ilvl w:val="0"/>
          <w:numId w:val="1066"/>
        </w:numPr>
      </w:pPr>
      <w:r>
        <w:t xml:space="preserve">chemical-name recall;</w:t>
      </w:r>
    </w:p>
    <w:p>
      <w:pPr>
        <w:pStyle w:val="Compact"/>
        <w:numPr>
          <w:ilvl w:val="0"/>
          <w:numId w:val="1066"/>
        </w:numPr>
      </w:pPr>
      <w:r>
        <w:t xml:space="preserve">dosage-number error rate;</w:t>
      </w:r>
    </w:p>
    <w:p>
      <w:pPr>
        <w:pStyle w:val="Compact"/>
        <w:numPr>
          <w:ilvl w:val="0"/>
          <w:numId w:val="1066"/>
        </w:numPr>
      </w:pPr>
      <w:r>
        <w:t xml:space="preserve">code-switch accuracy;</w:t>
      </w:r>
    </w:p>
    <w:p>
      <w:pPr>
        <w:pStyle w:val="Compact"/>
        <w:numPr>
          <w:ilvl w:val="0"/>
          <w:numId w:val="1066"/>
        </w:numPr>
      </w:pPr>
      <w:r>
        <w:t xml:space="preserve">latency.</w:t>
      </w:r>
    </w:p>
    <w:bookmarkEnd w:id="117"/>
    <w:bookmarkStart w:id="118" w:name="vision-and-diagnosis"/>
    <w:p>
      <w:pPr>
        <w:pStyle w:val="Heading3"/>
      </w:pPr>
      <w:r>
        <w:t xml:space="preserve">Vision and diagnosis</w:t>
      </w:r>
    </w:p>
    <w:p>
      <w:pPr>
        <w:pStyle w:val="Compact"/>
        <w:numPr>
          <w:ilvl w:val="0"/>
          <w:numId w:val="1067"/>
        </w:numPr>
      </w:pPr>
      <w:r>
        <w:t xml:space="preserve">top-1 accuracy;</w:t>
      </w:r>
    </w:p>
    <w:p>
      <w:pPr>
        <w:pStyle w:val="Compact"/>
        <w:numPr>
          <w:ilvl w:val="0"/>
          <w:numId w:val="1067"/>
        </w:numPr>
      </w:pPr>
      <w:r>
        <w:t xml:space="preserve">top-3 recall;</w:t>
      </w:r>
    </w:p>
    <w:p>
      <w:pPr>
        <w:pStyle w:val="Compact"/>
        <w:numPr>
          <w:ilvl w:val="0"/>
          <w:numId w:val="1067"/>
        </w:numPr>
      </w:pPr>
      <w:r>
        <w:t xml:space="preserve">sensitivity for high-risk conditions;</w:t>
      </w:r>
    </w:p>
    <w:p>
      <w:pPr>
        <w:pStyle w:val="Compact"/>
        <w:numPr>
          <w:ilvl w:val="0"/>
          <w:numId w:val="1067"/>
        </w:numPr>
      </w:pPr>
      <w:r>
        <w:t xml:space="preserve">specificity;</w:t>
      </w:r>
    </w:p>
    <w:p>
      <w:pPr>
        <w:pStyle w:val="Compact"/>
        <w:numPr>
          <w:ilvl w:val="0"/>
          <w:numId w:val="1067"/>
        </w:numPr>
      </w:pPr>
      <w:r>
        <w:t xml:space="preserve">calibration;</w:t>
      </w:r>
    </w:p>
    <w:p>
      <w:pPr>
        <w:pStyle w:val="Compact"/>
        <w:numPr>
          <w:ilvl w:val="0"/>
          <w:numId w:val="1067"/>
        </w:numPr>
      </w:pPr>
      <w:r>
        <w:t xml:space="preserve">image-insufficient detection;</w:t>
      </w:r>
    </w:p>
    <w:p>
      <w:pPr>
        <w:pStyle w:val="Compact"/>
        <w:numPr>
          <w:ilvl w:val="0"/>
          <w:numId w:val="1067"/>
        </w:numPr>
      </w:pPr>
      <w:r>
        <w:t xml:space="preserve">differential-diagnosis quality.</w:t>
      </w:r>
    </w:p>
    <w:bookmarkEnd w:id="118"/>
    <w:bookmarkStart w:id="119" w:name="rag"/>
    <w:p>
      <w:pPr>
        <w:pStyle w:val="Heading3"/>
      </w:pPr>
      <w:r>
        <w:t xml:space="preserve">RAG</w:t>
      </w:r>
    </w:p>
    <w:p>
      <w:pPr>
        <w:pStyle w:val="Compact"/>
        <w:numPr>
          <w:ilvl w:val="0"/>
          <w:numId w:val="1068"/>
        </w:numPr>
      </w:pPr>
      <w:r>
        <w:t xml:space="preserve">recall@k;</w:t>
      </w:r>
    </w:p>
    <w:p>
      <w:pPr>
        <w:pStyle w:val="Compact"/>
        <w:numPr>
          <w:ilvl w:val="0"/>
          <w:numId w:val="1068"/>
        </w:numPr>
      </w:pPr>
      <w:r>
        <w:t xml:space="preserve">precision@k;</w:t>
      </w:r>
    </w:p>
    <w:p>
      <w:pPr>
        <w:pStyle w:val="Compact"/>
        <w:numPr>
          <w:ilvl w:val="0"/>
          <w:numId w:val="1068"/>
        </w:numPr>
      </w:pPr>
      <w:r>
        <w:t xml:space="preserve">source-authority correctness;</w:t>
      </w:r>
    </w:p>
    <w:p>
      <w:pPr>
        <w:pStyle w:val="Compact"/>
        <w:numPr>
          <w:ilvl w:val="0"/>
          <w:numId w:val="1068"/>
        </w:numPr>
      </w:pPr>
      <w:r>
        <w:t xml:space="preserve">citation correctness;</w:t>
      </w:r>
    </w:p>
    <w:p>
      <w:pPr>
        <w:pStyle w:val="Compact"/>
        <w:numPr>
          <w:ilvl w:val="0"/>
          <w:numId w:val="1068"/>
        </w:numPr>
      </w:pPr>
      <w:r>
        <w:t xml:space="preserve">effective-date correctness;</w:t>
      </w:r>
    </w:p>
    <w:p>
      <w:pPr>
        <w:pStyle w:val="Compact"/>
        <w:numPr>
          <w:ilvl w:val="0"/>
          <w:numId w:val="1068"/>
        </w:numPr>
      </w:pPr>
      <w:r>
        <w:t xml:space="preserve">unsupported-answer rate.</w:t>
      </w:r>
    </w:p>
    <w:bookmarkEnd w:id="119"/>
    <w:bookmarkStart w:id="120" w:name="safety"/>
    <w:p>
      <w:pPr>
        <w:pStyle w:val="Heading3"/>
      </w:pPr>
      <w:r>
        <w:t xml:space="preserve">Safety</w:t>
      </w:r>
    </w:p>
    <w:p>
      <w:pPr>
        <w:pStyle w:val="Compact"/>
        <w:numPr>
          <w:ilvl w:val="0"/>
          <w:numId w:val="1069"/>
        </w:numPr>
      </w:pPr>
      <w:r>
        <w:t xml:space="preserve">unsafe recommendation rate;</w:t>
      </w:r>
    </w:p>
    <w:p>
      <w:pPr>
        <w:pStyle w:val="Compact"/>
        <w:numPr>
          <w:ilvl w:val="0"/>
          <w:numId w:val="1069"/>
        </w:numPr>
      </w:pPr>
      <w:r>
        <w:t xml:space="preserve">unsupported dosage rate;</w:t>
      </w:r>
    </w:p>
    <w:p>
      <w:pPr>
        <w:pStyle w:val="Compact"/>
        <w:numPr>
          <w:ilvl w:val="0"/>
          <w:numId w:val="1069"/>
        </w:numPr>
      </w:pPr>
      <w:r>
        <w:t xml:space="preserve">missed escalation rate;</w:t>
      </w:r>
    </w:p>
    <w:p>
      <w:pPr>
        <w:pStyle w:val="Compact"/>
        <w:numPr>
          <w:ilvl w:val="0"/>
          <w:numId w:val="1069"/>
        </w:numPr>
      </w:pPr>
      <w:r>
        <w:t xml:space="preserve">false-certainty rate;</w:t>
      </w:r>
    </w:p>
    <w:p>
      <w:pPr>
        <w:pStyle w:val="Compact"/>
        <w:numPr>
          <w:ilvl w:val="0"/>
          <w:numId w:val="1069"/>
        </w:numPr>
      </w:pPr>
      <w:r>
        <w:t xml:space="preserve">prohibited-combination detection.</w:t>
      </w:r>
    </w:p>
    <w:bookmarkEnd w:id="120"/>
    <w:bookmarkStart w:id="121" w:name="user-experience"/>
    <w:p>
      <w:pPr>
        <w:pStyle w:val="Heading3"/>
      </w:pPr>
      <w:r>
        <w:t xml:space="preserve">User experience</w:t>
      </w:r>
    </w:p>
    <w:p>
      <w:pPr>
        <w:pStyle w:val="Compact"/>
        <w:numPr>
          <w:ilvl w:val="0"/>
          <w:numId w:val="1070"/>
        </w:numPr>
      </w:pPr>
      <w:r>
        <w:t xml:space="preserve">session completion;</w:t>
      </w:r>
    </w:p>
    <w:p>
      <w:pPr>
        <w:pStyle w:val="Compact"/>
        <w:numPr>
          <w:ilvl w:val="0"/>
          <w:numId w:val="1070"/>
        </w:numPr>
      </w:pPr>
      <w:r>
        <w:t xml:space="preserve">farmer comprehension;</w:t>
      </w:r>
    </w:p>
    <w:p>
      <w:pPr>
        <w:pStyle w:val="Compact"/>
        <w:numPr>
          <w:ilvl w:val="0"/>
          <w:numId w:val="1070"/>
        </w:numPr>
      </w:pPr>
      <w:r>
        <w:t xml:space="preserve">repeat-question rate;</w:t>
      </w:r>
    </w:p>
    <w:p>
      <w:pPr>
        <w:pStyle w:val="Compact"/>
        <w:numPr>
          <w:ilvl w:val="0"/>
          <w:numId w:val="1070"/>
        </w:numPr>
      </w:pPr>
      <w:r>
        <w:t xml:space="preserve">officer satisfaction;</w:t>
      </w:r>
    </w:p>
    <w:p>
      <w:pPr>
        <w:pStyle w:val="Compact"/>
        <w:numPr>
          <w:ilvl w:val="0"/>
          <w:numId w:val="1070"/>
        </w:numPr>
      </w:pPr>
      <w:r>
        <w:t xml:space="preserve">average handling time;</w:t>
      </w:r>
    </w:p>
    <w:p>
      <w:pPr>
        <w:pStyle w:val="Compact"/>
        <w:numPr>
          <w:ilvl w:val="0"/>
          <w:numId w:val="1070"/>
        </w:numPr>
      </w:pPr>
      <w:r>
        <w:t xml:space="preserve">successful image-capture rate.</w:t>
      </w:r>
    </w:p>
    <w:bookmarkEnd w:id="121"/>
    <w:bookmarkEnd w:id="122"/>
    <w:bookmarkStart w:id="123" w:name="model-promotion"/>
    <w:p>
      <w:pPr>
        <w:pStyle w:val="Heading2"/>
      </w:pPr>
      <w:r>
        <w:t xml:space="preserve">21.4 Model promotion</w:t>
      </w:r>
    </w:p>
    <w:p>
      <w:pPr>
        <w:pStyle w:val="SourceCode"/>
      </w:pPr>
      <w:r>
        <w:rPr>
          <w:rStyle w:val="VerbatimChar"/>
        </w:rPr>
        <w:t xml:space="preserve">Candidate model</w:t>
      </w:r>
      <w:r>
        <w:br/>
      </w:r>
      <w:r>
        <w:rPr>
          <w:rStyle w:val="VerbatimChar"/>
        </w:rPr>
        <w:t xml:space="preserve">    ↓</w:t>
      </w:r>
      <w:r>
        <w:br/>
      </w:r>
      <w:r>
        <w:rPr>
          <w:rStyle w:val="VerbatimChar"/>
        </w:rPr>
        <w:t xml:space="preserve">Offline benchmark</w:t>
      </w:r>
      <w:r>
        <w:br/>
      </w:r>
      <w:r>
        <w:rPr>
          <w:rStyle w:val="VerbatimChar"/>
        </w:rPr>
        <w:t xml:space="preserve">    ↓</w:t>
      </w:r>
      <w:r>
        <w:br/>
      </w:r>
      <w:r>
        <w:rPr>
          <w:rStyle w:val="VerbatimChar"/>
        </w:rPr>
        <w:t xml:space="preserve">Agronomist review</w:t>
      </w:r>
      <w:r>
        <w:br/>
      </w:r>
      <w:r>
        <w:rPr>
          <w:rStyle w:val="VerbatimChar"/>
        </w:rPr>
        <w:t xml:space="preserve">    ↓</w:t>
      </w:r>
      <w:r>
        <w:br/>
      </w:r>
      <w:r>
        <w:rPr>
          <w:rStyle w:val="VerbatimChar"/>
        </w:rPr>
        <w:t xml:space="preserve">Safety red-team</w:t>
      </w:r>
      <w:r>
        <w:br/>
      </w:r>
      <w:r>
        <w:rPr>
          <w:rStyle w:val="VerbatimChar"/>
        </w:rPr>
        <w:t xml:space="preserve">    ↓</w:t>
      </w:r>
      <w:r>
        <w:br/>
      </w:r>
      <w:r>
        <w:rPr>
          <w:rStyle w:val="VerbatimChar"/>
        </w:rPr>
        <w:t xml:space="preserve">Shadow mode</w:t>
      </w:r>
      <w:r>
        <w:br/>
      </w:r>
      <w:r>
        <w:rPr>
          <w:rStyle w:val="VerbatimChar"/>
        </w:rPr>
        <w:t xml:space="preserve">    ↓</w:t>
      </w:r>
      <w:r>
        <w:br/>
      </w:r>
      <w:r>
        <w:rPr>
          <w:rStyle w:val="VerbatimChar"/>
        </w:rPr>
        <w:t xml:space="preserve">5% canary</w:t>
      </w:r>
      <w:r>
        <w:br/>
      </w:r>
      <w:r>
        <w:rPr>
          <w:rStyle w:val="VerbatimChar"/>
        </w:rPr>
        <w:t xml:space="preserve">    ↓</w:t>
      </w:r>
      <w:r>
        <w:br/>
      </w:r>
      <w:r>
        <w:rPr>
          <w:rStyle w:val="VerbatimChar"/>
        </w:rPr>
        <w:t xml:space="preserve">25% controlled rollout</w:t>
      </w:r>
      <w:r>
        <w:br/>
      </w:r>
      <w:r>
        <w:rPr>
          <w:rStyle w:val="VerbatimChar"/>
        </w:rPr>
        <w:t xml:space="preserve">    ↓</w:t>
      </w:r>
      <w:r>
        <w:br/>
      </w:r>
      <w:r>
        <w:rPr>
          <w:rStyle w:val="VerbatimChar"/>
        </w:rPr>
        <w:t xml:space="preserve">Production</w:t>
      </w:r>
    </w:p>
    <w:p>
      <w:pPr>
        <w:pStyle w:val="FirstParagraph"/>
      </w:pPr>
      <w:r>
        <w:t xml:space="preserve">No model should be promoted because it is simply newer.</w:t>
      </w:r>
    </w:p>
    <w:bookmarkEnd w:id="123"/>
    <w:bookmarkStart w:id="124" w:name="model-registry"/>
    <w:p>
      <w:pPr>
        <w:pStyle w:val="Heading2"/>
      </w:pPr>
      <w:r>
        <w:t xml:space="preserve">21.5 Model registry</w:t>
      </w:r>
    </w:p>
    <w:p>
      <w:pPr>
        <w:pStyle w:val="FirstParagraph"/>
      </w:pPr>
      <w:r>
        <w:t xml:space="preserve">Record:</w:t>
      </w:r>
    </w:p>
    <w:p>
      <w:pPr>
        <w:pStyle w:val="Compact"/>
        <w:numPr>
          <w:ilvl w:val="0"/>
          <w:numId w:val="1071"/>
        </w:numPr>
      </w:pPr>
      <w:r>
        <w:t xml:space="preserve">provider;</w:t>
      </w:r>
    </w:p>
    <w:p>
      <w:pPr>
        <w:pStyle w:val="Compact"/>
        <w:numPr>
          <w:ilvl w:val="0"/>
          <w:numId w:val="1071"/>
        </w:numPr>
      </w:pPr>
      <w:r>
        <w:t xml:space="preserve">model ID;</w:t>
      </w:r>
    </w:p>
    <w:p>
      <w:pPr>
        <w:pStyle w:val="Compact"/>
        <w:numPr>
          <w:ilvl w:val="0"/>
          <w:numId w:val="1071"/>
        </w:numPr>
      </w:pPr>
      <w:r>
        <w:t xml:space="preserve">checkpoint;</w:t>
      </w:r>
    </w:p>
    <w:p>
      <w:pPr>
        <w:pStyle w:val="Compact"/>
        <w:numPr>
          <w:ilvl w:val="0"/>
          <w:numId w:val="1071"/>
        </w:numPr>
      </w:pPr>
      <w:r>
        <w:t xml:space="preserve">licence;</w:t>
      </w:r>
    </w:p>
    <w:p>
      <w:pPr>
        <w:pStyle w:val="Compact"/>
        <w:numPr>
          <w:ilvl w:val="0"/>
          <w:numId w:val="1071"/>
        </w:numPr>
      </w:pPr>
      <w:r>
        <w:t xml:space="preserve">release date;</w:t>
      </w:r>
    </w:p>
    <w:p>
      <w:pPr>
        <w:pStyle w:val="Compact"/>
        <w:numPr>
          <w:ilvl w:val="0"/>
          <w:numId w:val="1071"/>
        </w:numPr>
      </w:pPr>
      <w:r>
        <w:t xml:space="preserve">benchmark result;</w:t>
      </w:r>
    </w:p>
    <w:p>
      <w:pPr>
        <w:pStyle w:val="Compact"/>
        <w:numPr>
          <w:ilvl w:val="0"/>
          <w:numId w:val="1071"/>
        </w:numPr>
      </w:pPr>
      <w:r>
        <w:t xml:space="preserve">cost;</w:t>
      </w:r>
    </w:p>
    <w:p>
      <w:pPr>
        <w:pStyle w:val="Compact"/>
        <w:numPr>
          <w:ilvl w:val="0"/>
          <w:numId w:val="1071"/>
        </w:numPr>
      </w:pPr>
      <w:r>
        <w:t xml:space="preserve">latency;</w:t>
      </w:r>
    </w:p>
    <w:p>
      <w:pPr>
        <w:pStyle w:val="Compact"/>
        <w:numPr>
          <w:ilvl w:val="0"/>
          <w:numId w:val="1071"/>
        </w:numPr>
      </w:pPr>
      <w:r>
        <w:t xml:space="preserve">Urdu score;</w:t>
      </w:r>
    </w:p>
    <w:p>
      <w:pPr>
        <w:pStyle w:val="Compact"/>
        <w:numPr>
          <w:ilvl w:val="0"/>
          <w:numId w:val="1071"/>
        </w:numPr>
      </w:pPr>
      <w:r>
        <w:t xml:space="preserve">agricultural score;</w:t>
      </w:r>
    </w:p>
    <w:p>
      <w:pPr>
        <w:pStyle w:val="Compact"/>
        <w:numPr>
          <w:ilvl w:val="0"/>
          <w:numId w:val="1071"/>
        </w:numPr>
      </w:pPr>
      <w:r>
        <w:t xml:space="preserve">approval status;</w:t>
      </w:r>
    </w:p>
    <w:p>
      <w:pPr>
        <w:pStyle w:val="Compact"/>
        <w:numPr>
          <w:ilvl w:val="0"/>
          <w:numId w:val="1071"/>
        </w:numPr>
      </w:pPr>
      <w:r>
        <w:t xml:space="preserve">rollback target.</w:t>
      </w:r>
    </w:p>
    <w:p>
      <w:r>
        <w:pict>
          <v:rect style="width:0;height:1.5pt" o:hralign="center" o:hrstd="t" o:hr="t"/>
        </w:pict>
      </w:r>
    </w:p>
    <w:bookmarkEnd w:id="124"/>
    <w:bookmarkEnd w:id="125"/>
    <w:bookmarkStart w:id="136" w:name="four-month-implementation-roadmap"/>
    <w:p>
      <w:pPr>
        <w:pStyle w:val="Heading1"/>
      </w:pPr>
      <w:r>
        <w:t xml:space="preserve">22. Four-month implementation roadmap</w:t>
      </w:r>
    </w:p>
    <w:bookmarkStart w:id="127" w:name="phase-0-mobilization-and-governance"/>
    <w:p>
      <w:pPr>
        <w:pStyle w:val="Heading2"/>
      </w:pPr>
      <w:r>
        <w:t xml:space="preserve">Phase 0 — Mobilization and governance</w:t>
      </w:r>
    </w:p>
    <w:bookmarkStart w:id="126" w:name="weeks-12"/>
    <w:p>
      <w:pPr>
        <w:pStyle w:val="Heading3"/>
      </w:pPr>
      <w:r>
        <w:t xml:space="preserve">Weeks 1–2</w:t>
      </w:r>
    </w:p>
    <w:p>
      <w:pPr>
        <w:pStyle w:val="FirstParagraph"/>
      </w:pPr>
      <w:r>
        <w:t xml:space="preserve">Deliverables:</w:t>
      </w:r>
    </w:p>
    <w:p>
      <w:pPr>
        <w:pStyle w:val="Compact"/>
        <w:numPr>
          <w:ilvl w:val="0"/>
          <w:numId w:val="1072"/>
        </w:numPr>
      </w:pPr>
      <w:r>
        <w:t xml:space="preserve">programme charter;</w:t>
      </w:r>
    </w:p>
    <w:p>
      <w:pPr>
        <w:pStyle w:val="Compact"/>
        <w:numPr>
          <w:ilvl w:val="0"/>
          <w:numId w:val="1072"/>
        </w:numPr>
      </w:pPr>
      <w:r>
        <w:t xml:space="preserve">pilot crops and districts;</w:t>
      </w:r>
    </w:p>
    <w:p>
      <w:pPr>
        <w:pStyle w:val="Compact"/>
        <w:numPr>
          <w:ilvl w:val="0"/>
          <w:numId w:val="1072"/>
        </w:numPr>
      </w:pPr>
      <w:r>
        <w:t xml:space="preserve">data classification;</w:t>
      </w:r>
    </w:p>
    <w:p>
      <w:pPr>
        <w:pStyle w:val="Compact"/>
        <w:numPr>
          <w:ilvl w:val="0"/>
          <w:numId w:val="1072"/>
        </w:numPr>
      </w:pPr>
      <w:r>
        <w:t xml:space="preserve">source-approval committee;</w:t>
      </w:r>
    </w:p>
    <w:p>
      <w:pPr>
        <w:pStyle w:val="Compact"/>
        <w:numPr>
          <w:ilvl w:val="0"/>
          <w:numId w:val="1072"/>
        </w:numPr>
      </w:pPr>
      <w:r>
        <w:t xml:space="preserve">clinical-style safety policy adapted for agriculture;</w:t>
      </w:r>
    </w:p>
    <w:p>
      <w:pPr>
        <w:pStyle w:val="Compact"/>
        <w:numPr>
          <w:ilvl w:val="0"/>
          <w:numId w:val="1072"/>
        </w:numPr>
      </w:pPr>
      <w:r>
        <w:t xml:space="preserve">target KPIs;</w:t>
      </w:r>
    </w:p>
    <w:p>
      <w:pPr>
        <w:pStyle w:val="Compact"/>
        <w:numPr>
          <w:ilvl w:val="0"/>
          <w:numId w:val="1072"/>
        </w:numPr>
      </w:pPr>
      <w:r>
        <w:t xml:space="preserve">architecture decision records;</w:t>
      </w:r>
    </w:p>
    <w:p>
      <w:pPr>
        <w:pStyle w:val="Compact"/>
        <w:numPr>
          <w:ilvl w:val="0"/>
          <w:numId w:val="1072"/>
        </w:numPr>
      </w:pPr>
      <w:r>
        <w:t xml:space="preserve">provider procurement plan;</w:t>
      </w:r>
    </w:p>
    <w:p>
      <w:pPr>
        <w:pStyle w:val="Compact"/>
        <w:numPr>
          <w:ilvl w:val="0"/>
          <w:numId w:val="1072"/>
        </w:numPr>
      </w:pPr>
      <w:r>
        <w:t xml:space="preserve">risk register;</w:t>
      </w:r>
    </w:p>
    <w:p>
      <w:pPr>
        <w:pStyle w:val="Compact"/>
        <w:numPr>
          <w:ilvl w:val="0"/>
          <w:numId w:val="1072"/>
        </w:numPr>
      </w:pPr>
      <w:r>
        <w:t xml:space="preserve">baseline evaluation design.</w:t>
      </w:r>
    </w:p>
    <w:p>
      <w:pPr>
        <w:pStyle w:val="FirstParagraph"/>
      </w:pPr>
      <w:r>
        <w:t xml:space="preserve">Exit gate:</w:t>
      </w:r>
    </w:p>
    <w:p>
      <w:pPr>
        <w:pStyle w:val="Compact"/>
        <w:numPr>
          <w:ilvl w:val="0"/>
          <w:numId w:val="1073"/>
        </w:numPr>
      </w:pPr>
      <w:r>
        <w:t xml:space="preserve">scope formally approved;</w:t>
      </w:r>
    </w:p>
    <w:p>
      <w:pPr>
        <w:pStyle w:val="Compact"/>
        <w:numPr>
          <w:ilvl w:val="0"/>
          <w:numId w:val="1073"/>
        </w:numPr>
      </w:pPr>
      <w:r>
        <w:t xml:space="preserve">knowledge owners identified;</w:t>
      </w:r>
    </w:p>
    <w:p>
      <w:pPr>
        <w:pStyle w:val="Compact"/>
        <w:numPr>
          <w:ilvl w:val="0"/>
          <w:numId w:val="1073"/>
        </w:numPr>
      </w:pPr>
      <w:r>
        <w:t xml:space="preserve">chemical-advice boundary approved;</w:t>
      </w:r>
    </w:p>
    <w:p>
      <w:pPr>
        <w:pStyle w:val="Compact"/>
        <w:numPr>
          <w:ilvl w:val="0"/>
          <w:numId w:val="1073"/>
        </w:numPr>
      </w:pPr>
      <w:r>
        <w:t xml:space="preserve">pilot datasets identified.</w:t>
      </w:r>
    </w:p>
    <w:bookmarkEnd w:id="126"/>
    <w:bookmarkEnd w:id="127"/>
    <w:bookmarkStart w:id="129" w:name="Xd6d4a174004b475a724be297cb2d54763c54002"/>
    <w:p>
      <w:pPr>
        <w:pStyle w:val="Heading2"/>
      </w:pPr>
      <w:r>
        <w:t xml:space="preserve">Phase 1 — Knowledge, speech and media foundation</w:t>
      </w:r>
    </w:p>
    <w:bookmarkStart w:id="128" w:name="weeks-35"/>
    <w:p>
      <w:pPr>
        <w:pStyle w:val="Heading3"/>
      </w:pPr>
      <w:r>
        <w:t xml:space="preserve">Weeks 3–5</w:t>
      </w:r>
    </w:p>
    <w:p>
      <w:pPr>
        <w:pStyle w:val="FirstParagraph"/>
      </w:pPr>
      <w:r>
        <w:t xml:space="preserve">Deliverables:</w:t>
      </w:r>
    </w:p>
    <w:p>
      <w:pPr>
        <w:pStyle w:val="Compact"/>
        <w:numPr>
          <w:ilvl w:val="0"/>
          <w:numId w:val="1074"/>
        </w:numPr>
      </w:pPr>
      <w:r>
        <w:t xml:space="preserve">Flutter application shell;</w:t>
      </w:r>
    </w:p>
    <w:p>
      <w:pPr>
        <w:pStyle w:val="Compact"/>
        <w:numPr>
          <w:ilvl w:val="0"/>
          <w:numId w:val="1074"/>
        </w:numPr>
      </w:pPr>
      <w:r>
        <w:t xml:space="preserve">LiveKit environment;</w:t>
      </w:r>
    </w:p>
    <w:p>
      <w:pPr>
        <w:pStyle w:val="Compact"/>
        <w:numPr>
          <w:ilvl w:val="0"/>
          <w:numId w:val="1074"/>
        </w:numPr>
      </w:pPr>
      <w:r>
        <w:t xml:space="preserve">streaming STT integrations;</w:t>
      </w:r>
    </w:p>
    <w:p>
      <w:pPr>
        <w:pStyle w:val="Compact"/>
        <w:numPr>
          <w:ilvl w:val="0"/>
          <w:numId w:val="1074"/>
        </w:numPr>
      </w:pPr>
      <w:r>
        <w:t xml:space="preserve">initial TTS integrations;</w:t>
      </w:r>
    </w:p>
    <w:p>
      <w:pPr>
        <w:pStyle w:val="Compact"/>
        <w:numPr>
          <w:ilvl w:val="0"/>
          <w:numId w:val="1074"/>
        </w:numPr>
      </w:pPr>
      <w:r>
        <w:t xml:space="preserve">guided image capture;</w:t>
      </w:r>
    </w:p>
    <w:p>
      <w:pPr>
        <w:pStyle w:val="Compact"/>
        <w:numPr>
          <w:ilvl w:val="0"/>
          <w:numId w:val="1074"/>
        </w:numPr>
      </w:pPr>
      <w:r>
        <w:t xml:space="preserve">network-quality detection;</w:t>
      </w:r>
    </w:p>
    <w:p>
      <w:pPr>
        <w:pStyle w:val="Compact"/>
        <w:numPr>
          <w:ilvl w:val="0"/>
          <w:numId w:val="1074"/>
        </w:numPr>
      </w:pPr>
      <w:r>
        <w:t xml:space="preserve">source-document ingestion;</w:t>
      </w:r>
    </w:p>
    <w:p>
      <w:pPr>
        <w:pStyle w:val="Compact"/>
        <w:numPr>
          <w:ilvl w:val="0"/>
          <w:numId w:val="1074"/>
        </w:numPr>
      </w:pPr>
      <w:r>
        <w:t xml:space="preserve">Qdrant and lexical retrieval;</w:t>
      </w:r>
    </w:p>
    <w:p>
      <w:pPr>
        <w:pStyle w:val="Compact"/>
        <w:numPr>
          <w:ilvl w:val="0"/>
          <w:numId w:val="1074"/>
        </w:numPr>
      </w:pPr>
      <w:r>
        <w:t xml:space="preserve">PostgreSQL schema;</w:t>
      </w:r>
    </w:p>
    <w:p>
      <w:pPr>
        <w:pStyle w:val="Compact"/>
        <w:numPr>
          <w:ilvl w:val="0"/>
          <w:numId w:val="1074"/>
        </w:numPr>
      </w:pPr>
      <w:r>
        <w:t xml:space="preserve">preliminary Urdu terminology dictionary.</w:t>
      </w:r>
    </w:p>
    <w:p>
      <w:pPr>
        <w:pStyle w:val="FirstParagraph"/>
      </w:pPr>
      <w:r>
        <w:t xml:space="preserve">Exit gate:</w:t>
      </w:r>
    </w:p>
    <w:p>
      <w:pPr>
        <w:pStyle w:val="Compact"/>
        <w:numPr>
          <w:ilvl w:val="0"/>
          <w:numId w:val="1075"/>
        </w:numPr>
      </w:pPr>
      <w:r>
        <w:t xml:space="preserve">successful Urdu conversation;</w:t>
      </w:r>
    </w:p>
    <w:p>
      <w:pPr>
        <w:pStyle w:val="Compact"/>
        <w:numPr>
          <w:ilvl w:val="0"/>
          <w:numId w:val="1075"/>
        </w:numPr>
      </w:pPr>
      <w:r>
        <w:t xml:space="preserve">images uploaded reliably;</w:t>
      </w:r>
    </w:p>
    <w:p>
      <w:pPr>
        <w:pStyle w:val="Compact"/>
        <w:numPr>
          <w:ilvl w:val="0"/>
          <w:numId w:val="1075"/>
        </w:numPr>
      </w:pPr>
      <w:r>
        <w:t xml:space="preserve">approved sources retrievable;</w:t>
      </w:r>
    </w:p>
    <w:p>
      <w:pPr>
        <w:pStyle w:val="Compact"/>
        <w:numPr>
          <w:ilvl w:val="0"/>
          <w:numId w:val="1075"/>
        </w:numPr>
      </w:pPr>
      <w:r>
        <w:t xml:space="preserve">basic audit trail working.</w:t>
      </w:r>
    </w:p>
    <w:bookmarkEnd w:id="128"/>
    <w:bookmarkEnd w:id="129"/>
    <w:bookmarkStart w:id="131" w:name="phase-2-multimodal-and-decision-workflow"/>
    <w:p>
      <w:pPr>
        <w:pStyle w:val="Heading2"/>
      </w:pPr>
      <w:r>
        <w:t xml:space="preserve">Phase 2 — Multimodal and decision workflow</w:t>
      </w:r>
    </w:p>
    <w:bookmarkStart w:id="130" w:name="weeks-69"/>
    <w:p>
      <w:pPr>
        <w:pStyle w:val="Heading3"/>
      </w:pPr>
      <w:r>
        <w:t xml:space="preserve">Weeks 6–9</w:t>
      </w:r>
    </w:p>
    <w:p>
      <w:pPr>
        <w:pStyle w:val="FirstParagraph"/>
      </w:pPr>
      <w:r>
        <w:t xml:space="preserve">Deliverables:</w:t>
      </w:r>
    </w:p>
    <w:p>
      <w:pPr>
        <w:pStyle w:val="Compact"/>
        <w:numPr>
          <w:ilvl w:val="0"/>
          <w:numId w:val="1076"/>
        </w:numPr>
      </w:pPr>
      <w:r>
        <w:t xml:space="preserve">model gateway;</w:t>
      </w:r>
    </w:p>
    <w:p>
      <w:pPr>
        <w:pStyle w:val="Compact"/>
        <w:numPr>
          <w:ilvl w:val="0"/>
          <w:numId w:val="1076"/>
        </w:numPr>
      </w:pPr>
      <w:r>
        <w:t xml:space="preserve">Gemini 3.6 integration;</w:t>
      </w:r>
    </w:p>
    <w:p>
      <w:pPr>
        <w:pStyle w:val="Compact"/>
        <w:numPr>
          <w:ilvl w:val="0"/>
          <w:numId w:val="1076"/>
        </w:numPr>
      </w:pPr>
      <w:r>
        <w:t xml:space="preserve">sovereign VLM evaluation integration;</w:t>
      </w:r>
    </w:p>
    <w:p>
      <w:pPr>
        <w:pStyle w:val="Compact"/>
        <w:numPr>
          <w:ilvl w:val="0"/>
          <w:numId w:val="1076"/>
        </w:numPr>
      </w:pPr>
      <w:r>
        <w:t xml:space="preserve">structured diagnosis schema;</w:t>
      </w:r>
    </w:p>
    <w:p>
      <w:pPr>
        <w:pStyle w:val="Compact"/>
        <w:numPr>
          <w:ilvl w:val="0"/>
          <w:numId w:val="1076"/>
        </w:numPr>
      </w:pPr>
      <w:r>
        <w:t xml:space="preserve">LangGraph workflow;</w:t>
      </w:r>
    </w:p>
    <w:p>
      <w:pPr>
        <w:pStyle w:val="Compact"/>
        <w:numPr>
          <w:ilvl w:val="0"/>
          <w:numId w:val="1076"/>
        </w:numPr>
      </w:pPr>
      <w:r>
        <w:t xml:space="preserve">RAG reranking;</w:t>
      </w:r>
    </w:p>
    <w:p>
      <w:pPr>
        <w:pStyle w:val="Compact"/>
        <w:numPr>
          <w:ilvl w:val="0"/>
          <w:numId w:val="1076"/>
        </w:numPr>
      </w:pPr>
      <w:r>
        <w:t xml:space="preserve">field-history tool;</w:t>
      </w:r>
    </w:p>
    <w:p>
      <w:pPr>
        <w:pStyle w:val="Compact"/>
        <w:numPr>
          <w:ilvl w:val="0"/>
          <w:numId w:val="1076"/>
        </w:numPr>
      </w:pPr>
      <w:r>
        <w:t xml:space="preserve">confidence framework;</w:t>
      </w:r>
    </w:p>
    <w:p>
      <w:pPr>
        <w:pStyle w:val="Compact"/>
        <w:numPr>
          <w:ilvl w:val="0"/>
          <w:numId w:val="1076"/>
        </w:numPr>
      </w:pPr>
      <w:r>
        <w:t xml:space="preserve">first policy-engine rules;</w:t>
      </w:r>
    </w:p>
    <w:p>
      <w:pPr>
        <w:pStyle w:val="Compact"/>
        <w:numPr>
          <w:ilvl w:val="0"/>
          <w:numId w:val="1076"/>
        </w:numPr>
      </w:pPr>
      <w:r>
        <w:t xml:space="preserve">officer escalation queue.</w:t>
      </w:r>
    </w:p>
    <w:p>
      <w:pPr>
        <w:pStyle w:val="FirstParagraph"/>
      </w:pPr>
      <w:r>
        <w:t xml:space="preserve">Exit gate:</w:t>
      </w:r>
    </w:p>
    <w:p>
      <w:pPr>
        <w:pStyle w:val="Compact"/>
        <w:numPr>
          <w:ilvl w:val="0"/>
          <w:numId w:val="1077"/>
        </w:numPr>
      </w:pPr>
      <w:r>
        <w:t xml:space="preserve">end-to-end diagnosis in a test environment;</w:t>
      </w:r>
    </w:p>
    <w:p>
      <w:pPr>
        <w:pStyle w:val="Compact"/>
        <w:numPr>
          <w:ilvl w:val="0"/>
          <w:numId w:val="1077"/>
        </w:numPr>
      </w:pPr>
      <w:r>
        <w:t xml:space="preserve">no uncontrolled dosage output;</w:t>
      </w:r>
    </w:p>
    <w:p>
      <w:pPr>
        <w:pStyle w:val="Compact"/>
        <w:numPr>
          <w:ilvl w:val="0"/>
          <w:numId w:val="1077"/>
        </w:numPr>
      </w:pPr>
      <w:r>
        <w:t xml:space="preserve">source citations attached;</w:t>
      </w:r>
    </w:p>
    <w:p>
      <w:pPr>
        <w:pStyle w:val="Compact"/>
        <w:numPr>
          <w:ilvl w:val="0"/>
          <w:numId w:val="1077"/>
        </w:numPr>
      </w:pPr>
      <w:r>
        <w:t xml:space="preserve">low-confidence cases escalated.</w:t>
      </w:r>
    </w:p>
    <w:bookmarkEnd w:id="130"/>
    <w:bookmarkEnd w:id="131"/>
    <w:bookmarkStart w:id="133" w:name="X99744a0d6441a94beb13c29c3e3ca5851e37652"/>
    <w:p>
      <w:pPr>
        <w:pStyle w:val="Heading2"/>
      </w:pPr>
      <w:r>
        <w:t xml:space="preserve">Phase 3 — Safety, evaluation and shadow deployment</w:t>
      </w:r>
    </w:p>
    <w:bookmarkStart w:id="132" w:name="weeks-1012"/>
    <w:p>
      <w:pPr>
        <w:pStyle w:val="Heading3"/>
      </w:pPr>
      <w:r>
        <w:t xml:space="preserve">Weeks 10–12</w:t>
      </w:r>
    </w:p>
    <w:p>
      <w:pPr>
        <w:pStyle w:val="FirstParagraph"/>
      </w:pPr>
      <w:r>
        <w:t xml:space="preserve">Deliverables:</w:t>
      </w:r>
    </w:p>
    <w:p>
      <w:pPr>
        <w:pStyle w:val="Compact"/>
        <w:numPr>
          <w:ilvl w:val="0"/>
          <w:numId w:val="1078"/>
        </w:numPr>
      </w:pPr>
      <w:r>
        <w:t xml:space="preserve">gold-standard test sets;</w:t>
      </w:r>
    </w:p>
    <w:p>
      <w:pPr>
        <w:pStyle w:val="Compact"/>
        <w:numPr>
          <w:ilvl w:val="0"/>
          <w:numId w:val="1078"/>
        </w:numPr>
      </w:pPr>
      <w:r>
        <w:t xml:space="preserve">Urdu STT benchmark;</w:t>
      </w:r>
    </w:p>
    <w:p>
      <w:pPr>
        <w:pStyle w:val="Compact"/>
        <w:numPr>
          <w:ilvl w:val="0"/>
          <w:numId w:val="1078"/>
        </w:numPr>
      </w:pPr>
      <w:r>
        <w:t xml:space="preserve">vision benchmark;</w:t>
      </w:r>
    </w:p>
    <w:p>
      <w:pPr>
        <w:pStyle w:val="Compact"/>
        <w:numPr>
          <w:ilvl w:val="0"/>
          <w:numId w:val="1078"/>
        </w:numPr>
      </w:pPr>
      <w:r>
        <w:t xml:space="preserve">safety red-team tests;</w:t>
      </w:r>
    </w:p>
    <w:p>
      <w:pPr>
        <w:pStyle w:val="Compact"/>
        <w:numPr>
          <w:ilvl w:val="0"/>
          <w:numId w:val="1078"/>
        </w:numPr>
      </w:pPr>
      <w:r>
        <w:t xml:space="preserve">load tests;</w:t>
      </w:r>
    </w:p>
    <w:p>
      <w:pPr>
        <w:pStyle w:val="Compact"/>
        <w:numPr>
          <w:ilvl w:val="0"/>
          <w:numId w:val="1078"/>
        </w:numPr>
      </w:pPr>
      <w:r>
        <w:t xml:space="preserve">security tests;</w:t>
      </w:r>
    </w:p>
    <w:p>
      <w:pPr>
        <w:pStyle w:val="Compact"/>
        <w:numPr>
          <w:ilvl w:val="0"/>
          <w:numId w:val="1078"/>
        </w:numPr>
      </w:pPr>
      <w:r>
        <w:t xml:space="preserve">agronomist review interface;</w:t>
      </w:r>
    </w:p>
    <w:p>
      <w:pPr>
        <w:pStyle w:val="Compact"/>
        <w:numPr>
          <w:ilvl w:val="0"/>
          <w:numId w:val="1078"/>
        </w:numPr>
      </w:pPr>
      <w:r>
        <w:t xml:space="preserve">shadow-mode deployment;</w:t>
      </w:r>
    </w:p>
    <w:p>
      <w:pPr>
        <w:pStyle w:val="Compact"/>
        <w:numPr>
          <w:ilvl w:val="0"/>
          <w:numId w:val="1078"/>
        </w:numPr>
      </w:pPr>
      <w:r>
        <w:t xml:space="preserve">error taxonomy.</w:t>
      </w:r>
    </w:p>
    <w:p>
      <w:pPr>
        <w:pStyle w:val="FirstParagraph"/>
      </w:pPr>
      <w:r>
        <w:t xml:space="preserve">Exit gate:</w:t>
      </w:r>
    </w:p>
    <w:p>
      <w:pPr>
        <w:pStyle w:val="Compact"/>
        <w:numPr>
          <w:ilvl w:val="0"/>
          <w:numId w:val="1079"/>
        </w:numPr>
      </w:pPr>
      <w:r>
        <w:t xml:space="preserve">minimum accuracy thresholds met;</w:t>
      </w:r>
    </w:p>
    <w:p>
      <w:pPr>
        <w:pStyle w:val="Compact"/>
        <w:numPr>
          <w:ilvl w:val="0"/>
          <w:numId w:val="1079"/>
        </w:numPr>
      </w:pPr>
      <w:r>
        <w:t xml:space="preserve">zero critical unsafe recommendations in the approved safety suite;</w:t>
      </w:r>
    </w:p>
    <w:p>
      <w:pPr>
        <w:pStyle w:val="Compact"/>
        <w:numPr>
          <w:ilvl w:val="0"/>
          <w:numId w:val="1079"/>
        </w:numPr>
      </w:pPr>
      <w:r>
        <w:t xml:space="preserve">rollback tested;</w:t>
      </w:r>
    </w:p>
    <w:p>
      <w:pPr>
        <w:pStyle w:val="Compact"/>
        <w:numPr>
          <w:ilvl w:val="0"/>
          <w:numId w:val="1079"/>
        </w:numPr>
      </w:pPr>
      <w:r>
        <w:t xml:space="preserve">audit completeness verified.</w:t>
      </w:r>
    </w:p>
    <w:bookmarkEnd w:id="132"/>
    <w:bookmarkEnd w:id="133"/>
    <w:bookmarkStart w:id="135" w:name="phase-4-controlled-farmer-pilot"/>
    <w:p>
      <w:pPr>
        <w:pStyle w:val="Heading2"/>
      </w:pPr>
      <w:r>
        <w:t xml:space="preserve">Phase 4 — Controlled farmer pilot</w:t>
      </w:r>
    </w:p>
    <w:bookmarkStart w:id="134" w:name="weeks-1316"/>
    <w:p>
      <w:pPr>
        <w:pStyle w:val="Heading3"/>
      </w:pPr>
      <w:r>
        <w:t xml:space="preserve">Weeks 13–16</w:t>
      </w:r>
    </w:p>
    <w:p>
      <w:pPr>
        <w:pStyle w:val="FirstParagraph"/>
      </w:pPr>
      <w:r>
        <w:t xml:space="preserve">Deliverables:</w:t>
      </w:r>
    </w:p>
    <w:p>
      <w:pPr>
        <w:pStyle w:val="Compact"/>
        <w:numPr>
          <w:ilvl w:val="0"/>
          <w:numId w:val="1080"/>
        </w:numPr>
      </w:pPr>
      <w:r>
        <w:t xml:space="preserve">farmer onboarding;</w:t>
      </w:r>
    </w:p>
    <w:p>
      <w:pPr>
        <w:pStyle w:val="Compact"/>
        <w:numPr>
          <w:ilvl w:val="0"/>
          <w:numId w:val="1080"/>
        </w:numPr>
      </w:pPr>
      <w:r>
        <w:t xml:space="preserve">live controlled deployment;</w:t>
      </w:r>
    </w:p>
    <w:p>
      <w:pPr>
        <w:pStyle w:val="Compact"/>
        <w:numPr>
          <w:ilvl w:val="0"/>
          <w:numId w:val="1080"/>
        </w:numPr>
      </w:pPr>
      <w:r>
        <w:t xml:space="preserve">daily monitoring;</w:t>
      </w:r>
    </w:p>
    <w:p>
      <w:pPr>
        <w:pStyle w:val="Compact"/>
        <w:numPr>
          <w:ilvl w:val="0"/>
          <w:numId w:val="1080"/>
        </w:numPr>
      </w:pPr>
      <w:r>
        <w:t xml:space="preserve">weekly agronomist review;</w:t>
      </w:r>
    </w:p>
    <w:p>
      <w:pPr>
        <w:pStyle w:val="Compact"/>
        <w:numPr>
          <w:ilvl w:val="0"/>
          <w:numId w:val="1080"/>
        </w:numPr>
      </w:pPr>
      <w:r>
        <w:t xml:space="preserve">incident process;</w:t>
      </w:r>
    </w:p>
    <w:p>
      <w:pPr>
        <w:pStyle w:val="Compact"/>
        <w:numPr>
          <w:ilvl w:val="0"/>
          <w:numId w:val="1080"/>
        </w:numPr>
      </w:pPr>
      <w:r>
        <w:t xml:space="preserve">pilot dashboard;</w:t>
      </w:r>
    </w:p>
    <w:p>
      <w:pPr>
        <w:pStyle w:val="Compact"/>
        <w:numPr>
          <w:ilvl w:val="0"/>
          <w:numId w:val="1080"/>
        </w:numPr>
      </w:pPr>
      <w:r>
        <w:t xml:space="preserve">farmer feedback;</w:t>
      </w:r>
    </w:p>
    <w:p>
      <w:pPr>
        <w:pStyle w:val="Compact"/>
        <w:numPr>
          <w:ilvl w:val="0"/>
          <w:numId w:val="1080"/>
        </w:numPr>
      </w:pPr>
      <w:r>
        <w:t xml:space="preserve">final evaluation report;</w:t>
      </w:r>
    </w:p>
    <w:p>
      <w:pPr>
        <w:pStyle w:val="Compact"/>
        <w:numPr>
          <w:ilvl w:val="0"/>
          <w:numId w:val="1080"/>
        </w:numPr>
      </w:pPr>
      <w:r>
        <w:t xml:space="preserve">production go/no-go recommendation.</w:t>
      </w:r>
    </w:p>
    <w:p>
      <w:pPr>
        <w:pStyle w:val="FirstParagraph"/>
      </w:pPr>
      <w:r>
        <w:t xml:space="preserve">Exit gate:</w:t>
      </w:r>
    </w:p>
    <w:p>
      <w:pPr>
        <w:pStyle w:val="Compact"/>
        <w:numPr>
          <w:ilvl w:val="0"/>
          <w:numId w:val="1081"/>
        </w:numPr>
      </w:pPr>
      <w:r>
        <w:t xml:space="preserve">pilot KPIs reviewed;</w:t>
      </w:r>
    </w:p>
    <w:p>
      <w:pPr>
        <w:pStyle w:val="Compact"/>
        <w:numPr>
          <w:ilvl w:val="0"/>
          <w:numId w:val="1081"/>
        </w:numPr>
      </w:pPr>
      <w:r>
        <w:t xml:space="preserve">failure modes understood;</w:t>
      </w:r>
    </w:p>
    <w:p>
      <w:pPr>
        <w:pStyle w:val="Compact"/>
        <w:numPr>
          <w:ilvl w:val="0"/>
          <w:numId w:val="1081"/>
        </w:numPr>
      </w:pPr>
      <w:r>
        <w:t xml:space="preserve">production capacity estimated;</w:t>
      </w:r>
    </w:p>
    <w:p>
      <w:pPr>
        <w:pStyle w:val="Compact"/>
        <w:numPr>
          <w:ilvl w:val="0"/>
          <w:numId w:val="1081"/>
        </w:numPr>
      </w:pPr>
      <w:r>
        <w:t xml:space="preserve">regulatory and departmental approvals documented.</w:t>
      </w:r>
    </w:p>
    <w:p>
      <w:r>
        <w:pict>
          <v:rect style="width:0;height:1.5pt" o:hralign="center" o:hrstd="t" o:hr="t"/>
        </w:pict>
      </w:r>
    </w:p>
    <w:bookmarkEnd w:id="134"/>
    <w:bookmarkEnd w:id="135"/>
    <w:bookmarkEnd w:id="136"/>
    <w:bookmarkStart w:id="137" w:name="production-hardening-phase"/>
    <w:p>
      <w:pPr>
        <w:pStyle w:val="Heading1"/>
      </w:pPr>
      <w:r>
        <w:t xml:space="preserve">23. Production-hardening phase</w:t>
      </w:r>
    </w:p>
    <w:p>
      <w:pPr>
        <w:pStyle w:val="FirstParagraph"/>
      </w:pPr>
      <w:r>
        <w:t xml:space="preserve">The pilot should be followed by a separate three-to-six-month production-hardening programme covering:</w:t>
      </w:r>
    </w:p>
    <w:p>
      <w:pPr>
        <w:pStyle w:val="Compact"/>
        <w:numPr>
          <w:ilvl w:val="0"/>
          <w:numId w:val="1082"/>
        </w:numPr>
      </w:pPr>
      <w:r>
        <w:t xml:space="preserve">additional crops;</w:t>
      </w:r>
    </w:p>
    <w:p>
      <w:pPr>
        <w:pStyle w:val="Compact"/>
        <w:numPr>
          <w:ilvl w:val="0"/>
          <w:numId w:val="1082"/>
        </w:numPr>
      </w:pPr>
      <w:r>
        <w:t xml:space="preserve">additional districts;</w:t>
      </w:r>
    </w:p>
    <w:p>
      <w:pPr>
        <w:pStyle w:val="Compact"/>
        <w:numPr>
          <w:ilvl w:val="0"/>
          <w:numId w:val="1082"/>
        </w:numPr>
      </w:pPr>
      <w:r>
        <w:t xml:space="preserve">full HA deployment;</w:t>
      </w:r>
    </w:p>
    <w:p>
      <w:pPr>
        <w:pStyle w:val="Compact"/>
        <w:numPr>
          <w:ilvl w:val="0"/>
          <w:numId w:val="1082"/>
        </w:numPr>
      </w:pPr>
      <w:r>
        <w:t xml:space="preserve">disaster recovery;</w:t>
      </w:r>
    </w:p>
    <w:p>
      <w:pPr>
        <w:pStyle w:val="Compact"/>
        <w:numPr>
          <w:ilvl w:val="0"/>
          <w:numId w:val="1082"/>
        </w:numPr>
      </w:pPr>
      <w:r>
        <w:t xml:space="preserve">sovereign-model optimization;</w:t>
      </w:r>
    </w:p>
    <w:p>
      <w:pPr>
        <w:pStyle w:val="Compact"/>
        <w:numPr>
          <w:ilvl w:val="0"/>
          <w:numId w:val="1082"/>
        </w:numPr>
      </w:pPr>
      <w:r>
        <w:t xml:space="preserve">expanded officer operations;</w:t>
      </w:r>
    </w:p>
    <w:p>
      <w:pPr>
        <w:pStyle w:val="Compact"/>
        <w:numPr>
          <w:ilvl w:val="0"/>
          <w:numId w:val="1082"/>
        </w:numPr>
      </w:pPr>
      <w:r>
        <w:t xml:space="preserve">multilingual options;</w:t>
      </w:r>
    </w:p>
    <w:p>
      <w:pPr>
        <w:pStyle w:val="Compact"/>
        <w:numPr>
          <w:ilvl w:val="0"/>
          <w:numId w:val="1082"/>
        </w:numPr>
      </w:pPr>
      <w:r>
        <w:t xml:space="preserve">scaled monitoring;</w:t>
      </w:r>
    </w:p>
    <w:p>
      <w:pPr>
        <w:pStyle w:val="Compact"/>
        <w:numPr>
          <w:ilvl w:val="0"/>
          <w:numId w:val="1082"/>
        </w:numPr>
      </w:pPr>
      <w:r>
        <w:t xml:space="preserve">improved local STT/TTS;</w:t>
      </w:r>
    </w:p>
    <w:p>
      <w:pPr>
        <w:pStyle w:val="Compact"/>
        <w:numPr>
          <w:ilvl w:val="0"/>
          <w:numId w:val="1082"/>
        </w:numPr>
      </w:pPr>
      <w:r>
        <w:t xml:space="preserve">outbreak analytics;</w:t>
      </w:r>
    </w:p>
    <w:p>
      <w:pPr>
        <w:pStyle w:val="Compact"/>
        <w:numPr>
          <w:ilvl w:val="0"/>
          <w:numId w:val="1082"/>
        </w:numPr>
      </w:pPr>
      <w:r>
        <w:t xml:space="preserve">security accreditation;</w:t>
      </w:r>
    </w:p>
    <w:p>
      <w:pPr>
        <w:pStyle w:val="Compact"/>
        <w:numPr>
          <w:ilvl w:val="0"/>
          <w:numId w:val="1082"/>
        </w:numPr>
      </w:pPr>
      <w:r>
        <w:t xml:space="preserve">performance and cost optimization.</w:t>
      </w:r>
    </w:p>
    <w:p>
      <w:pPr>
        <w:pStyle w:val="FirstParagraph"/>
      </w:pPr>
      <w:r>
        <w:t xml:space="preserve">A province-wide rollout should not be presented as a month-four pilot deliverable.</w:t>
      </w:r>
    </w:p>
    <w:p>
      <w:r>
        <w:pict>
          <v:rect style="width:0;height:1.5pt" o:hralign="center" o:hrstd="t" o:hr="t"/>
        </w:pict>
      </w:r>
    </w:p>
    <w:bookmarkEnd w:id="137"/>
    <w:bookmarkStart w:id="138" w:name="team-structure"/>
    <w:p>
      <w:pPr>
        <w:pStyle w:val="Heading1"/>
      </w:pPr>
      <w:r>
        <w:t xml:space="preserve">24. Team structure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Role</w:t>
            </w:r>
          </w:p>
        </w:tc>
        <w:tc>
          <w:tcPr/>
          <w:p>
            <w:pPr>
              <w:pStyle w:val="Compact"/>
            </w:pPr>
            <w:r>
              <w:t xml:space="preserve">Primary responsibility</w:t>
            </w:r>
          </w:p>
        </w:tc>
      </w:tr>
      <w:tr>
        <w:tc>
          <w:tcPr/>
          <w:p>
            <w:pPr>
              <w:pStyle w:val="Compact"/>
            </w:pPr>
            <w:r>
              <w:t xml:space="preserve">Programme sponsor</w:t>
            </w:r>
          </w:p>
        </w:tc>
        <w:tc>
          <w:tcPr/>
          <w:p>
            <w:pPr>
              <w:pStyle w:val="Compact"/>
            </w:pPr>
            <w:r>
              <w:t xml:space="preserve">Departmental authority and funding</w:t>
            </w:r>
          </w:p>
        </w:tc>
      </w:tr>
      <w:tr>
        <w:tc>
          <w:tcPr/>
          <w:p>
            <w:pPr>
              <w:pStyle w:val="Compact"/>
            </w:pPr>
            <w:r>
              <w:t xml:space="preserve">Product owner</w:t>
            </w:r>
          </w:p>
        </w:tc>
        <w:tc>
          <w:tcPr/>
          <w:p>
            <w:pPr>
              <w:pStyle w:val="Compact"/>
            </w:pPr>
            <w:r>
              <w:t xml:space="preserve">Farmer and officer requirements</w:t>
            </w:r>
          </w:p>
        </w:tc>
      </w:tr>
      <w:tr>
        <w:tc>
          <w:tcPr/>
          <w:p>
            <w:pPr>
              <w:pStyle w:val="Compact"/>
            </w:pPr>
            <w:r>
              <w:t xml:space="preserve">Solution architect</w:t>
            </w:r>
          </w:p>
        </w:tc>
        <w:tc>
          <w:tcPr/>
          <w:p>
            <w:pPr>
              <w:pStyle w:val="Compact"/>
            </w:pPr>
            <w:r>
              <w:t xml:space="preserve">End-to-end architecture</w:t>
            </w:r>
          </w:p>
        </w:tc>
      </w:tr>
      <w:tr>
        <w:tc>
          <w:tcPr/>
          <w:p>
            <w:pPr>
              <w:pStyle w:val="Compact"/>
            </w:pPr>
            <w:r>
              <w:t xml:space="preserve">Realtime/LiveKit engineer</w:t>
            </w:r>
          </w:p>
        </w:tc>
        <w:tc>
          <w:tcPr/>
          <w:p>
            <w:pPr>
              <w:pStyle w:val="Compact"/>
            </w:pPr>
            <w:r>
              <w:t xml:space="preserve">WebRTC and media plane</w:t>
            </w:r>
          </w:p>
        </w:tc>
      </w:tr>
      <w:tr>
        <w:tc>
          <w:tcPr/>
          <w:p>
            <w:pPr>
              <w:pStyle w:val="Compact"/>
            </w:pPr>
            <w:r>
              <w:t xml:space="preserve">Flutter engineers</w:t>
            </w:r>
          </w:p>
        </w:tc>
        <w:tc>
          <w:tcPr/>
          <w:p>
            <w:pPr>
              <w:pStyle w:val="Compact"/>
            </w:pPr>
            <w:r>
              <w:t xml:space="preserve">Farmer application</w:t>
            </w:r>
          </w:p>
        </w:tc>
      </w:tr>
      <w:tr>
        <w:tc>
          <w:tcPr/>
          <w:p>
            <w:pPr>
              <w:pStyle w:val="Compact"/>
            </w:pPr>
            <w:r>
              <w:t xml:space="preserve">Backend engineers</w:t>
            </w:r>
          </w:p>
        </w:tc>
        <w:tc>
          <w:tcPr/>
          <w:p>
            <w:pPr>
              <w:pStyle w:val="Compact"/>
            </w:pPr>
            <w:r>
              <w:t xml:space="preserve">APIs, workflows and integrations</w:t>
            </w:r>
          </w:p>
        </w:tc>
      </w:tr>
      <w:tr>
        <w:tc>
          <w:tcPr/>
          <w:p>
            <w:pPr>
              <w:pStyle w:val="Compact"/>
            </w:pPr>
            <w:r>
              <w:t xml:space="preserve">ML engineers</w:t>
            </w:r>
          </w:p>
        </w:tc>
        <w:tc>
          <w:tcPr/>
          <w:p>
            <w:pPr>
              <w:pStyle w:val="Compact"/>
            </w:pPr>
            <w:r>
              <w:t xml:space="preserve">Model gateway, evaluation and deployment</w:t>
            </w:r>
          </w:p>
        </w:tc>
      </w:tr>
      <w:tr>
        <w:tc>
          <w:tcPr/>
          <w:p>
            <w:pPr>
              <w:pStyle w:val="Compact"/>
            </w:pPr>
            <w:r>
              <w:t xml:space="preserve">Speech specialist</w:t>
            </w:r>
          </w:p>
        </w:tc>
        <w:tc>
          <w:tcPr/>
          <w:p>
            <w:pPr>
              <w:pStyle w:val="Compact"/>
            </w:pPr>
            <w:r>
              <w:t xml:space="preserve">Urdu STT/TTS benchmarking</w:t>
            </w:r>
          </w:p>
        </w:tc>
      </w:tr>
      <w:tr>
        <w:tc>
          <w:tcPr/>
          <w:p>
            <w:pPr>
              <w:pStyle w:val="Compact"/>
            </w:pPr>
            <w:r>
              <w:t xml:space="preserve">RAG/data engineer</w:t>
            </w:r>
          </w:p>
        </w:tc>
        <w:tc>
          <w:tcPr/>
          <w:p>
            <w:pPr>
              <w:pStyle w:val="Compact"/>
            </w:pPr>
            <w:r>
              <w:t xml:space="preserve">Ingestion, retrieval and metadata</w:t>
            </w:r>
          </w:p>
        </w:tc>
      </w:tr>
      <w:tr>
        <w:tc>
          <w:tcPr/>
          <w:p>
            <w:pPr>
              <w:pStyle w:val="Compact"/>
            </w:pPr>
            <w:r>
              <w:t xml:space="preserve">Agronomists</w:t>
            </w:r>
          </w:p>
        </w:tc>
        <w:tc>
          <w:tcPr/>
          <w:p>
            <w:pPr>
              <w:pStyle w:val="Compact"/>
            </w:pPr>
            <w:r>
              <w:t xml:space="preserve">Diagnosis and treatment validation</w:t>
            </w:r>
          </w:p>
        </w:tc>
      </w:tr>
      <w:tr>
        <w:tc>
          <w:tcPr/>
          <w:p>
            <w:pPr>
              <w:pStyle w:val="Compact"/>
            </w:pPr>
            <w:r>
              <w:t xml:space="preserve">Regulatory specialist</w:t>
            </w:r>
          </w:p>
        </w:tc>
        <w:tc>
          <w:tcPr/>
          <w:p>
            <w:pPr>
              <w:pStyle w:val="Compact"/>
            </w:pPr>
            <w:r>
              <w:t xml:space="preserve">Product and dosage rules</w:t>
            </w:r>
          </w:p>
        </w:tc>
      </w:tr>
      <w:tr>
        <w:tc>
          <w:tcPr/>
          <w:p>
            <w:pPr>
              <w:pStyle w:val="Compact"/>
            </w:pPr>
            <w:r>
              <w:t xml:space="preserve">GIS engineer</w:t>
            </w:r>
          </w:p>
        </w:tc>
        <w:tc>
          <w:tcPr/>
          <w:p>
            <w:pPr>
              <w:pStyle w:val="Compact"/>
            </w:pPr>
            <w:r>
              <w:t xml:space="preserve">PostGIS and outbreak analytics</w:t>
            </w:r>
          </w:p>
        </w:tc>
      </w:tr>
      <w:tr>
        <w:tc>
          <w:tcPr/>
          <w:p>
            <w:pPr>
              <w:pStyle w:val="Compact"/>
            </w:pPr>
            <w:r>
              <w:t xml:space="preserve">DevOps/SRE</w:t>
            </w:r>
          </w:p>
        </w:tc>
        <w:tc>
          <w:tcPr/>
          <w:p>
            <w:pPr>
              <w:pStyle w:val="Compact"/>
            </w:pPr>
            <w:r>
              <w:t xml:space="preserve">Kubernetes, availability and monitoring</w:t>
            </w:r>
          </w:p>
        </w:tc>
      </w:tr>
      <w:tr>
        <w:tc>
          <w:tcPr/>
          <w:p>
            <w:pPr>
              <w:pStyle w:val="Compact"/>
            </w:pPr>
            <w:r>
              <w:t xml:space="preserve">Security engineer</w:t>
            </w:r>
          </w:p>
        </w:tc>
        <w:tc>
          <w:tcPr/>
          <w:p>
            <w:pPr>
              <w:pStyle w:val="Compact"/>
            </w:pPr>
            <w:r>
              <w:t xml:space="preserve">Security architecture and testing</w:t>
            </w:r>
          </w:p>
        </w:tc>
      </w:tr>
      <w:tr>
        <w:tc>
          <w:tcPr/>
          <w:p>
            <w:pPr>
              <w:pStyle w:val="Compact"/>
            </w:pPr>
            <w:r>
              <w:t xml:space="preserve">QA engineers</w:t>
            </w:r>
          </w:p>
        </w:tc>
        <w:tc>
          <w:tcPr/>
          <w:p>
            <w:pPr>
              <w:pStyle w:val="Compact"/>
            </w:pPr>
            <w:r>
              <w:t xml:space="preserve">Functional and performance testing</w:t>
            </w:r>
          </w:p>
        </w:tc>
      </w:tr>
      <w:tr>
        <w:tc>
          <w:tcPr/>
          <w:p>
            <w:pPr>
              <w:pStyle w:val="Compact"/>
            </w:pPr>
            <w:r>
              <w:t xml:space="preserve">Urdu language experts</w:t>
            </w:r>
          </w:p>
        </w:tc>
        <w:tc>
          <w:tcPr/>
          <w:p>
            <w:pPr>
              <w:pStyle w:val="Compact"/>
            </w:pPr>
            <w:r>
              <w:t xml:space="preserve">Terminology and response quality</w:t>
            </w:r>
          </w:p>
        </w:tc>
      </w:tr>
      <w:tr>
        <w:tc>
          <w:tcPr/>
          <w:p>
            <w:pPr>
              <w:pStyle w:val="Compact"/>
            </w:pPr>
            <w:r>
              <w:t xml:space="preserve">Field operations lead</w:t>
            </w:r>
          </w:p>
        </w:tc>
        <w:tc>
          <w:tcPr/>
          <w:p>
            <w:pPr>
              <w:pStyle w:val="Compact"/>
            </w:pPr>
            <w:r>
              <w:t xml:space="preserve">Farmer and officer pilot</w:t>
            </w:r>
          </w:p>
        </w:tc>
      </w:tr>
      <w:tr>
        <w:tc>
          <w:tcPr/>
          <w:p>
            <w:pPr>
              <w:pStyle w:val="Compact"/>
            </w:pPr>
            <w:r>
              <w:t xml:space="preserve">Data-protection lead</w:t>
            </w:r>
          </w:p>
        </w:tc>
        <w:tc>
          <w:tcPr/>
          <w:p>
            <w:pPr>
              <w:pStyle w:val="Compact"/>
            </w:pPr>
            <w:r>
              <w:t xml:space="preserve">Consent and retention</w:t>
            </w:r>
          </w:p>
        </w:tc>
      </w:tr>
    </w:tbl>
    <w:p>
      <w:r>
        <w:pict>
          <v:rect style="width:0;height:1.5pt" o:hralign="center" o:hrstd="t" o:hr="t"/>
        </w:pict>
      </w:r>
    </w:p>
    <w:bookmarkEnd w:id="138"/>
    <w:bookmarkStart w:id="139" w:name="procurement-strategy"/>
    <w:p>
      <w:pPr>
        <w:pStyle w:val="Heading1"/>
      </w:pPr>
      <w:r>
        <w:t xml:space="preserve">25. Procurement strategy</w:t>
      </w:r>
    </w:p>
    <w:p>
      <w:pPr>
        <w:pStyle w:val="FirstParagraph"/>
      </w:pPr>
      <w:r>
        <w:t xml:space="preserve">Avoid procuring one vendor as the permanent owner of the complete platform.</w:t>
      </w:r>
    </w:p>
    <w:p>
      <w:pPr>
        <w:pStyle w:val="BodyText"/>
      </w:pPr>
      <w:r>
        <w:t xml:space="preserve">Procure by capability:</w:t>
      </w:r>
    </w:p>
    <w:p>
      <w:pPr>
        <w:pStyle w:val="Compact"/>
        <w:numPr>
          <w:ilvl w:val="0"/>
          <w:numId w:val="1083"/>
        </w:numPr>
      </w:pPr>
      <w:r>
        <w:t xml:space="preserve">media transport;</w:t>
      </w:r>
    </w:p>
    <w:p>
      <w:pPr>
        <w:pStyle w:val="Compact"/>
        <w:numPr>
          <w:ilvl w:val="0"/>
          <w:numId w:val="1083"/>
        </w:numPr>
      </w:pPr>
      <w:r>
        <w:t xml:space="preserve">cloud STT;</w:t>
      </w:r>
    </w:p>
    <w:p>
      <w:pPr>
        <w:pStyle w:val="Compact"/>
        <w:numPr>
          <w:ilvl w:val="0"/>
          <w:numId w:val="1083"/>
        </w:numPr>
      </w:pPr>
      <w:r>
        <w:t xml:space="preserve">cloud multimodal reasoning;</w:t>
      </w:r>
    </w:p>
    <w:p>
      <w:pPr>
        <w:pStyle w:val="Compact"/>
        <w:numPr>
          <w:ilvl w:val="0"/>
          <w:numId w:val="1083"/>
        </w:numPr>
      </w:pPr>
      <w:r>
        <w:t xml:space="preserve">cloud TTS;</w:t>
      </w:r>
    </w:p>
    <w:p>
      <w:pPr>
        <w:pStyle w:val="Compact"/>
        <w:numPr>
          <w:ilvl w:val="0"/>
          <w:numId w:val="1083"/>
        </w:numPr>
      </w:pPr>
      <w:r>
        <w:t xml:space="preserve">GPU infrastructure;</w:t>
      </w:r>
    </w:p>
    <w:p>
      <w:pPr>
        <w:pStyle w:val="Compact"/>
        <w:numPr>
          <w:ilvl w:val="0"/>
          <w:numId w:val="1083"/>
        </w:numPr>
      </w:pPr>
      <w:r>
        <w:t xml:space="preserve">object storage;</w:t>
      </w:r>
    </w:p>
    <w:p>
      <w:pPr>
        <w:pStyle w:val="Compact"/>
        <w:numPr>
          <w:ilvl w:val="0"/>
          <w:numId w:val="1083"/>
        </w:numPr>
      </w:pPr>
      <w:r>
        <w:t xml:space="preserve">security monitoring;</w:t>
      </w:r>
    </w:p>
    <w:p>
      <w:pPr>
        <w:pStyle w:val="Compact"/>
        <w:numPr>
          <w:ilvl w:val="0"/>
          <w:numId w:val="1083"/>
        </w:numPr>
      </w:pPr>
      <w:r>
        <w:t xml:space="preserve">support and operations.</w:t>
      </w:r>
    </w:p>
    <w:p>
      <w:pPr>
        <w:pStyle w:val="FirstParagraph"/>
      </w:pPr>
      <w:r>
        <w:t xml:space="preserve">Contracts should cover:</w:t>
      </w:r>
    </w:p>
    <w:p>
      <w:pPr>
        <w:pStyle w:val="Compact"/>
        <w:numPr>
          <w:ilvl w:val="0"/>
          <w:numId w:val="1084"/>
        </w:numPr>
      </w:pPr>
      <w:r>
        <w:t xml:space="preserve">data retention;</w:t>
      </w:r>
    </w:p>
    <w:p>
      <w:pPr>
        <w:pStyle w:val="Compact"/>
        <w:numPr>
          <w:ilvl w:val="0"/>
          <w:numId w:val="1084"/>
        </w:numPr>
      </w:pPr>
      <w:r>
        <w:t xml:space="preserve">training use;</w:t>
      </w:r>
    </w:p>
    <w:p>
      <w:pPr>
        <w:pStyle w:val="Compact"/>
        <w:numPr>
          <w:ilvl w:val="0"/>
          <w:numId w:val="1084"/>
        </w:numPr>
      </w:pPr>
      <w:r>
        <w:t xml:space="preserve">geographic processing;</w:t>
      </w:r>
    </w:p>
    <w:p>
      <w:pPr>
        <w:pStyle w:val="Compact"/>
        <w:numPr>
          <w:ilvl w:val="0"/>
          <w:numId w:val="1084"/>
        </w:numPr>
      </w:pPr>
      <w:r>
        <w:t xml:space="preserve">model version changes;</w:t>
      </w:r>
    </w:p>
    <w:p>
      <w:pPr>
        <w:pStyle w:val="Compact"/>
        <w:numPr>
          <w:ilvl w:val="0"/>
          <w:numId w:val="1084"/>
        </w:numPr>
      </w:pPr>
      <w:r>
        <w:t xml:space="preserve">deprecation notice;</w:t>
      </w:r>
    </w:p>
    <w:p>
      <w:pPr>
        <w:pStyle w:val="Compact"/>
        <w:numPr>
          <w:ilvl w:val="0"/>
          <w:numId w:val="1084"/>
        </w:numPr>
      </w:pPr>
      <w:r>
        <w:t xml:space="preserve">service-level commitments;</w:t>
      </w:r>
    </w:p>
    <w:p>
      <w:pPr>
        <w:pStyle w:val="Compact"/>
        <w:numPr>
          <w:ilvl w:val="0"/>
          <w:numId w:val="1084"/>
        </w:numPr>
      </w:pPr>
      <w:r>
        <w:t xml:space="preserve">quota guarantees;</w:t>
      </w:r>
    </w:p>
    <w:p>
      <w:pPr>
        <w:pStyle w:val="Compact"/>
        <w:numPr>
          <w:ilvl w:val="0"/>
          <w:numId w:val="1084"/>
        </w:numPr>
      </w:pPr>
      <w:r>
        <w:t xml:space="preserve">breach notification;</w:t>
      </w:r>
    </w:p>
    <w:p>
      <w:pPr>
        <w:pStyle w:val="Compact"/>
        <w:numPr>
          <w:ilvl w:val="0"/>
          <w:numId w:val="1084"/>
        </w:numPr>
      </w:pPr>
      <w:r>
        <w:t xml:space="preserve">audit access;</w:t>
      </w:r>
    </w:p>
    <w:p>
      <w:pPr>
        <w:pStyle w:val="Compact"/>
        <w:numPr>
          <w:ilvl w:val="0"/>
          <w:numId w:val="1084"/>
        </w:numPr>
      </w:pPr>
      <w:r>
        <w:t xml:space="preserve">exit and data deletion;</w:t>
      </w:r>
    </w:p>
    <w:p>
      <w:pPr>
        <w:pStyle w:val="Compact"/>
        <w:numPr>
          <w:ilvl w:val="0"/>
          <w:numId w:val="1084"/>
        </w:numPr>
      </w:pPr>
      <w:r>
        <w:t xml:space="preserve">portability.</w:t>
      </w:r>
    </w:p>
    <w:p>
      <w:r>
        <w:pict>
          <v:rect style="width:0;height:1.5pt" o:hralign="center" o:hrstd="t" o:hr="t"/>
        </w:pict>
      </w:r>
    </w:p>
    <w:bookmarkEnd w:id="139"/>
    <w:bookmarkStart w:id="140" w:name="cost-control-framework"/>
    <w:p>
      <w:pPr>
        <w:pStyle w:val="Heading1"/>
      </w:pPr>
      <w:r>
        <w:t xml:space="preserve">26. Cost-control framework</w:t>
      </w:r>
    </w:p>
    <w:p>
      <w:pPr>
        <w:pStyle w:val="FirstParagraph"/>
      </w:pPr>
      <w:r>
        <w:t xml:space="preserve">Track cost per completed advisory, not merely cost per API call.</w:t>
      </w:r>
    </w:p>
    <w:p>
      <w:pPr>
        <w:pStyle w:val="BodyText"/>
      </w:pPr>
      <w:r>
        <w:t xml:space="preserve">Include:</w:t>
      </w:r>
    </w:p>
    <w:p>
      <w:pPr>
        <w:pStyle w:val="Compact"/>
        <w:numPr>
          <w:ilvl w:val="0"/>
          <w:numId w:val="1085"/>
        </w:numPr>
      </w:pPr>
      <w:r>
        <w:t xml:space="preserve">LiveKit bandwidth;</w:t>
      </w:r>
    </w:p>
    <w:p>
      <w:pPr>
        <w:pStyle w:val="Compact"/>
        <w:numPr>
          <w:ilvl w:val="0"/>
          <w:numId w:val="1085"/>
        </w:numPr>
      </w:pPr>
      <w:r>
        <w:t xml:space="preserve">STT audio minutes;</w:t>
      </w:r>
    </w:p>
    <w:p>
      <w:pPr>
        <w:pStyle w:val="Compact"/>
        <w:numPr>
          <w:ilvl w:val="0"/>
          <w:numId w:val="1085"/>
        </w:numPr>
      </w:pPr>
      <w:r>
        <w:t xml:space="preserve">TTS characters;</w:t>
      </w:r>
    </w:p>
    <w:p>
      <w:pPr>
        <w:pStyle w:val="Compact"/>
        <w:numPr>
          <w:ilvl w:val="0"/>
          <w:numId w:val="1085"/>
        </w:numPr>
      </w:pPr>
      <w:r>
        <w:t xml:space="preserve">multimodal input tokens;</w:t>
      </w:r>
    </w:p>
    <w:p>
      <w:pPr>
        <w:pStyle w:val="Compact"/>
        <w:numPr>
          <w:ilvl w:val="0"/>
          <w:numId w:val="1085"/>
        </w:numPr>
      </w:pPr>
      <w:r>
        <w:t xml:space="preserve">image and video processing;</w:t>
      </w:r>
    </w:p>
    <w:p>
      <w:pPr>
        <w:pStyle w:val="Compact"/>
        <w:numPr>
          <w:ilvl w:val="0"/>
          <w:numId w:val="1085"/>
        </w:numPr>
      </w:pPr>
      <w:r>
        <w:t xml:space="preserve">embedding and reranking;</w:t>
      </w:r>
    </w:p>
    <w:p>
      <w:pPr>
        <w:pStyle w:val="Compact"/>
        <w:numPr>
          <w:ilvl w:val="0"/>
          <w:numId w:val="1085"/>
        </w:numPr>
      </w:pPr>
      <w:r>
        <w:t xml:space="preserve">GPU depreciation;</w:t>
      </w:r>
    </w:p>
    <w:p>
      <w:pPr>
        <w:pStyle w:val="Compact"/>
        <w:numPr>
          <w:ilvl w:val="0"/>
          <w:numId w:val="1085"/>
        </w:numPr>
      </w:pPr>
      <w:r>
        <w:t xml:space="preserve">storage;</w:t>
      </w:r>
    </w:p>
    <w:p>
      <w:pPr>
        <w:pStyle w:val="Compact"/>
        <w:numPr>
          <w:ilvl w:val="0"/>
          <w:numId w:val="1085"/>
        </w:numPr>
      </w:pPr>
      <w:r>
        <w:t xml:space="preserve">officer-review time;</w:t>
      </w:r>
    </w:p>
    <w:p>
      <w:pPr>
        <w:pStyle w:val="Compact"/>
        <w:numPr>
          <w:ilvl w:val="0"/>
          <w:numId w:val="1085"/>
        </w:numPr>
      </w:pPr>
      <w:r>
        <w:t xml:space="preserve">monitoring;</w:t>
      </w:r>
    </w:p>
    <w:p>
      <w:pPr>
        <w:pStyle w:val="Compact"/>
        <w:numPr>
          <w:ilvl w:val="0"/>
          <w:numId w:val="1085"/>
        </w:numPr>
      </w:pPr>
      <w:r>
        <w:t xml:space="preserve">support;</w:t>
      </w:r>
    </w:p>
    <w:p>
      <w:pPr>
        <w:pStyle w:val="Compact"/>
        <w:numPr>
          <w:ilvl w:val="0"/>
          <w:numId w:val="1085"/>
        </w:numPr>
      </w:pPr>
      <w:r>
        <w:t xml:space="preserve">network egress.</w:t>
      </w:r>
    </w:p>
    <w:p>
      <w:pPr>
        <w:pStyle w:val="FirstParagraph"/>
      </w:pPr>
      <w:r>
        <w:t xml:space="preserve">Cost controls:</w:t>
      </w:r>
    </w:p>
    <w:p>
      <w:pPr>
        <w:pStyle w:val="Compact"/>
        <w:numPr>
          <w:ilvl w:val="0"/>
          <w:numId w:val="1086"/>
        </w:numPr>
      </w:pPr>
      <w:r>
        <w:t xml:space="preserve">still images instead of continuous video;</w:t>
      </w:r>
    </w:p>
    <w:p>
      <w:pPr>
        <w:pStyle w:val="Compact"/>
        <w:numPr>
          <w:ilvl w:val="0"/>
          <w:numId w:val="1086"/>
        </w:numPr>
      </w:pPr>
      <w:r>
        <w:t xml:space="preserve">concise responses;</w:t>
      </w:r>
    </w:p>
    <w:p>
      <w:pPr>
        <w:pStyle w:val="Compact"/>
        <w:numPr>
          <w:ilvl w:val="0"/>
          <w:numId w:val="1086"/>
        </w:numPr>
      </w:pPr>
      <w:r>
        <w:t xml:space="preserve">crop-specific RAG prefiltering;</w:t>
      </w:r>
    </w:p>
    <w:p>
      <w:pPr>
        <w:pStyle w:val="Compact"/>
        <w:numPr>
          <w:ilvl w:val="0"/>
          <w:numId w:val="1086"/>
        </w:numPr>
      </w:pPr>
      <w:r>
        <w:t xml:space="preserve">caching of low-risk general guidance;</w:t>
      </w:r>
    </w:p>
    <w:p>
      <w:pPr>
        <w:pStyle w:val="Compact"/>
        <w:numPr>
          <w:ilvl w:val="0"/>
          <w:numId w:val="1086"/>
        </w:numPr>
      </w:pPr>
      <w:r>
        <w:t xml:space="preserve">cheaper model for simple classification;</w:t>
      </w:r>
    </w:p>
    <w:p>
      <w:pPr>
        <w:pStyle w:val="Compact"/>
        <w:numPr>
          <w:ilvl w:val="0"/>
          <w:numId w:val="1086"/>
        </w:numPr>
      </w:pPr>
      <w:r>
        <w:t xml:space="preserve">stronger model only for complex cases;</w:t>
      </w:r>
    </w:p>
    <w:p>
      <w:pPr>
        <w:pStyle w:val="Compact"/>
        <w:numPr>
          <w:ilvl w:val="0"/>
          <w:numId w:val="1086"/>
        </w:numPr>
      </w:pPr>
      <w:r>
        <w:t xml:space="preserve">rate limits;</w:t>
      </w:r>
    </w:p>
    <w:p>
      <w:pPr>
        <w:pStyle w:val="Compact"/>
        <w:numPr>
          <w:ilvl w:val="0"/>
          <w:numId w:val="1086"/>
        </w:numPr>
      </w:pPr>
      <w:r>
        <w:t xml:space="preserve">duplicate-case detection;</w:t>
      </w:r>
    </w:p>
    <w:p>
      <w:pPr>
        <w:pStyle w:val="Compact"/>
        <w:numPr>
          <w:ilvl w:val="0"/>
          <w:numId w:val="1086"/>
        </w:numPr>
      </w:pPr>
      <w:r>
        <w:t xml:space="preserve">media-retention controls.</w:t>
      </w:r>
    </w:p>
    <w:p>
      <w:r>
        <w:pict>
          <v:rect style="width:0;height:1.5pt" o:hralign="center" o:hrstd="t" o:hr="t"/>
        </w:pict>
      </w:r>
    </w:p>
    <w:bookmarkEnd w:id="140"/>
    <w:bookmarkStart w:id="141" w:name="risk-register"/>
    <w:p>
      <w:pPr>
        <w:pStyle w:val="Heading1"/>
      </w:pPr>
      <w:r>
        <w:t xml:space="preserve">27. Risk register</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Risk</w:t>
            </w:r>
          </w:p>
        </w:tc>
        <w:tc>
          <w:tcPr/>
          <w:p>
            <w:pPr>
              <w:pStyle w:val="Compact"/>
            </w:pPr>
            <w:r>
              <w:t xml:space="preserve">Impact</w:t>
            </w:r>
          </w:p>
        </w:tc>
        <w:tc>
          <w:tcPr/>
          <w:p>
            <w:pPr>
              <w:pStyle w:val="Compact"/>
            </w:pPr>
            <w:r>
              <w:t xml:space="preserve">Mitigation</w:t>
            </w:r>
          </w:p>
        </w:tc>
      </w:tr>
      <w:tr>
        <w:tc>
          <w:tcPr/>
          <w:p>
            <w:pPr>
              <w:pStyle w:val="Compact"/>
            </w:pPr>
            <w:r>
              <w:t xml:space="preserve">Poor Urdu transcription</w:t>
            </w:r>
          </w:p>
        </w:tc>
        <w:tc>
          <w:tcPr/>
          <w:p>
            <w:pPr>
              <w:pStyle w:val="Compact"/>
            </w:pPr>
            <w:r>
              <w:t xml:space="preserve">Wrong reasoning input</w:t>
            </w:r>
          </w:p>
        </w:tc>
        <w:tc>
          <w:tcPr/>
          <w:p>
            <w:pPr>
              <w:pStyle w:val="Compact"/>
            </w:pPr>
            <w:r>
              <w:t xml:space="preserve">Benchmark providers, use terminology lists, confirm critical entities</w:t>
            </w:r>
          </w:p>
        </w:tc>
      </w:tr>
      <w:tr>
        <w:tc>
          <w:tcPr/>
          <w:p>
            <w:pPr>
              <w:pStyle w:val="Compact"/>
            </w:pPr>
            <w:r>
              <w:t xml:space="preserve">Similar-looking diseases</w:t>
            </w:r>
          </w:p>
        </w:tc>
        <w:tc>
          <w:tcPr/>
          <w:p>
            <w:pPr>
              <w:pStyle w:val="Compact"/>
            </w:pPr>
            <w:r>
              <w:t xml:space="preserve">Incorrect diagnosis</w:t>
            </w:r>
          </w:p>
        </w:tc>
        <w:tc>
          <w:tcPr/>
          <w:p>
            <w:pPr>
              <w:pStyle w:val="Compact"/>
            </w:pPr>
            <w:r>
              <w:t xml:space="preserve">Differential diagnosis, multiple images, agronomist escalation</w:t>
            </w:r>
          </w:p>
        </w:tc>
      </w:tr>
      <w:tr>
        <w:tc>
          <w:tcPr/>
          <w:p>
            <w:pPr>
              <w:pStyle w:val="Compact"/>
            </w:pPr>
            <w:r>
              <w:t xml:space="preserve">Hallucinated dosage</w:t>
            </w:r>
          </w:p>
        </w:tc>
        <w:tc>
          <w:tcPr/>
          <w:p>
            <w:pPr>
              <w:pStyle w:val="Compact"/>
            </w:pPr>
            <w:r>
              <w:t xml:space="preserve">Farmer harm</w:t>
            </w:r>
          </w:p>
        </w:tc>
        <w:tc>
          <w:tcPr/>
          <w:p>
            <w:pPr>
              <w:pStyle w:val="Compact"/>
            </w:pPr>
            <w:r>
              <w:t xml:space="preserve">Deterministic policy engine; block unsupported advice</w:t>
            </w:r>
          </w:p>
        </w:tc>
      </w:tr>
      <w:tr>
        <w:tc>
          <w:tcPr/>
          <w:p>
            <w:pPr>
              <w:pStyle w:val="Compact"/>
            </w:pPr>
            <w:r>
              <w:t xml:space="preserve">Weak rural connectivity</w:t>
            </w:r>
          </w:p>
        </w:tc>
        <w:tc>
          <w:tcPr/>
          <w:p>
            <w:pPr>
              <w:pStyle w:val="Compact"/>
            </w:pPr>
            <w:r>
              <w:t xml:space="preserve">Failed sessions</w:t>
            </w:r>
          </w:p>
        </w:tc>
        <w:tc>
          <w:tcPr/>
          <w:p>
            <w:pPr>
              <w:pStyle w:val="Compact"/>
            </w:pPr>
            <w:r>
              <w:t xml:space="preserve">Push-to-talk, queued media, compressed images</w:t>
            </w:r>
          </w:p>
        </w:tc>
      </w:tr>
      <w:tr>
        <w:tc>
          <w:tcPr/>
          <w:p>
            <w:pPr>
              <w:pStyle w:val="Compact"/>
            </w:pPr>
            <w:r>
              <w:t xml:space="preserve">Provider outage</w:t>
            </w:r>
          </w:p>
        </w:tc>
        <w:tc>
          <w:tcPr/>
          <w:p>
            <w:pPr>
              <w:pStyle w:val="Compact"/>
            </w:pPr>
            <w:r>
              <w:t xml:space="preserve">Service disruption</w:t>
            </w:r>
          </w:p>
        </w:tc>
        <w:tc>
          <w:tcPr/>
          <w:p>
            <w:pPr>
              <w:pStyle w:val="Compact"/>
            </w:pPr>
            <w:r>
              <w:t xml:space="preserve">Model gateway and fallback providers</w:t>
            </w:r>
          </w:p>
        </w:tc>
      </w:tr>
      <w:tr>
        <w:tc>
          <w:tcPr/>
          <w:p>
            <w:pPr>
              <w:pStyle w:val="Compact"/>
            </w:pPr>
            <w:r>
              <w:t xml:space="preserve">Provider model deprecation</w:t>
            </w:r>
          </w:p>
        </w:tc>
        <w:tc>
          <w:tcPr/>
          <w:p>
            <w:pPr>
              <w:pStyle w:val="Compact"/>
            </w:pPr>
            <w:r>
              <w:t xml:space="preserve">Unexpected failure</w:t>
            </w:r>
          </w:p>
        </w:tc>
        <w:tc>
          <w:tcPr/>
          <w:p>
            <w:pPr>
              <w:pStyle w:val="Compact"/>
            </w:pPr>
            <w:r>
              <w:t xml:space="preserve">Version pinning and replacement testing</w:t>
            </w:r>
          </w:p>
        </w:tc>
      </w:tr>
      <w:tr>
        <w:tc>
          <w:tcPr/>
          <w:p>
            <w:pPr>
              <w:pStyle w:val="Compact"/>
            </w:pPr>
            <w:r>
              <w:t xml:space="preserve">Unofficial model artefact</w:t>
            </w:r>
          </w:p>
        </w:tc>
        <w:tc>
          <w:tcPr/>
          <w:p>
            <w:pPr>
              <w:pStyle w:val="Compact"/>
            </w:pPr>
            <w:r>
              <w:t xml:space="preserve">Security/licensing risk</w:t>
            </w:r>
          </w:p>
        </w:tc>
        <w:tc>
          <w:tcPr/>
          <w:p>
            <w:pPr>
              <w:pStyle w:val="Compact"/>
            </w:pPr>
            <w:r>
              <w:t xml:space="preserve">Use only verified checkpoints and licences</w:t>
            </w:r>
          </w:p>
        </w:tc>
      </w:tr>
      <w:tr>
        <w:tc>
          <w:tcPr/>
          <w:p>
            <w:pPr>
              <w:pStyle w:val="Compact"/>
            </w:pPr>
            <w:r>
              <w:t xml:space="preserve">Single-node infrastructure</w:t>
            </w:r>
          </w:p>
        </w:tc>
        <w:tc>
          <w:tcPr/>
          <w:p>
            <w:pPr>
              <w:pStyle w:val="Compact"/>
            </w:pPr>
            <w:r>
              <w:t xml:space="preserve">Downtime</w:t>
            </w:r>
          </w:p>
        </w:tc>
        <w:tc>
          <w:tcPr/>
          <w:p>
            <w:pPr>
              <w:pStyle w:val="Compact"/>
            </w:pPr>
            <w:r>
              <w:t xml:space="preserve">HA clustering and backups</w:t>
            </w:r>
          </w:p>
        </w:tc>
      </w:tr>
      <w:tr>
        <w:tc>
          <w:tcPr/>
          <w:p>
            <w:pPr>
              <w:pStyle w:val="Compact"/>
            </w:pPr>
            <w:r>
              <w:t xml:space="preserve">Outdated manual</w:t>
            </w:r>
          </w:p>
        </w:tc>
        <w:tc>
          <w:tcPr/>
          <w:p>
            <w:pPr>
              <w:pStyle w:val="Compact"/>
            </w:pPr>
            <w:r>
              <w:t xml:space="preserve">Unsafe advice</w:t>
            </w:r>
          </w:p>
        </w:tc>
        <w:tc>
          <w:tcPr/>
          <w:p>
            <w:pPr>
              <w:pStyle w:val="Compact"/>
            </w:pPr>
            <w:r>
              <w:t xml:space="preserve">Effective dates, approval lifecycle and withdrawal</w:t>
            </w:r>
          </w:p>
        </w:tc>
      </w:tr>
      <w:tr>
        <w:tc>
          <w:tcPr/>
          <w:p>
            <w:pPr>
              <w:pStyle w:val="Compact"/>
            </w:pPr>
            <w:r>
              <w:t xml:space="preserve">Farmer overtrust</w:t>
            </w:r>
          </w:p>
        </w:tc>
        <w:tc>
          <w:tcPr/>
          <w:p>
            <w:pPr>
              <w:pStyle w:val="Compact"/>
            </w:pPr>
            <w:r>
              <w:t xml:space="preserve">Misuse</w:t>
            </w:r>
          </w:p>
        </w:tc>
        <w:tc>
          <w:tcPr/>
          <w:p>
            <w:pPr>
              <w:pStyle w:val="Compact"/>
            </w:pPr>
            <w:r>
              <w:t xml:space="preserve">Explicit uncertainty and officer escalation</w:t>
            </w:r>
          </w:p>
        </w:tc>
      </w:tr>
      <w:tr>
        <w:tc>
          <w:tcPr/>
          <w:p>
            <w:pPr>
              <w:pStyle w:val="Compact"/>
            </w:pPr>
            <w:r>
              <w:t xml:space="preserve">Sensitive geospatial exposure</w:t>
            </w:r>
          </w:p>
        </w:tc>
        <w:tc>
          <w:tcPr/>
          <w:p>
            <w:pPr>
              <w:pStyle w:val="Compact"/>
            </w:pPr>
            <w:r>
              <w:t xml:space="preserve">Privacy harm</w:t>
            </w:r>
          </w:p>
        </w:tc>
        <w:tc>
          <w:tcPr/>
          <w:p>
            <w:pPr>
              <w:pStyle w:val="Compact"/>
            </w:pPr>
            <w:r>
              <w:t xml:space="preserve">Access controls, pseudonymization and retention limits</w:t>
            </w:r>
          </w:p>
        </w:tc>
      </w:tr>
      <w:tr>
        <w:tc>
          <w:tcPr/>
          <w:p>
            <w:pPr>
              <w:pStyle w:val="Compact"/>
            </w:pPr>
            <w:r>
              <w:t xml:space="preserve">False outbreak signal</w:t>
            </w:r>
          </w:p>
        </w:tc>
        <w:tc>
          <w:tcPr/>
          <w:p>
            <w:pPr>
              <w:pStyle w:val="Compact"/>
            </w:pPr>
            <w:r>
              <w:t xml:space="preserve">Operational disruption</w:t>
            </w:r>
          </w:p>
        </w:tc>
        <w:tc>
          <w:tcPr/>
          <w:p>
            <w:pPr>
              <w:pStyle w:val="Compact"/>
            </w:pPr>
            <w:r>
              <w:t xml:space="preserve">Human-reviewed anomaly pipeline</w:t>
            </w:r>
          </w:p>
        </w:tc>
      </w:tr>
      <w:tr>
        <w:tc>
          <w:tcPr/>
          <w:p>
            <w:pPr>
              <w:pStyle w:val="Compact"/>
            </w:pPr>
            <w:r>
              <w:t xml:space="preserve">Excessive cloud cost</w:t>
            </w:r>
          </w:p>
        </w:tc>
        <w:tc>
          <w:tcPr/>
          <w:p>
            <w:pPr>
              <w:pStyle w:val="Compact"/>
            </w:pPr>
            <w:r>
              <w:t xml:space="preserve">Unsustainable operation</w:t>
            </w:r>
          </w:p>
        </w:tc>
        <w:tc>
          <w:tcPr/>
          <w:p>
            <w:pPr>
              <w:pStyle w:val="Compact"/>
            </w:pPr>
            <w:r>
              <w:t xml:space="preserve">Routing, caching and cost-per-case monitoring</w:t>
            </w:r>
          </w:p>
        </w:tc>
      </w:tr>
      <w:tr>
        <w:tc>
          <w:tcPr/>
          <w:p>
            <w:pPr>
              <w:pStyle w:val="Compact"/>
            </w:pPr>
            <w:r>
              <w:t xml:space="preserve">Officer overload</w:t>
            </w:r>
          </w:p>
        </w:tc>
        <w:tc>
          <w:tcPr/>
          <w:p>
            <w:pPr>
              <w:pStyle w:val="Compact"/>
            </w:pPr>
            <w:r>
              <w:t xml:space="preserve">Delayed escalations</w:t>
            </w:r>
          </w:p>
        </w:tc>
        <w:tc>
          <w:tcPr/>
          <w:p>
            <w:pPr>
              <w:pStyle w:val="Compact"/>
            </w:pPr>
            <w:r>
              <w:t xml:space="preserve">Risk prioritization and workload dashboards</w:t>
            </w:r>
          </w:p>
        </w:tc>
      </w:tr>
      <w:tr>
        <w:tc>
          <w:tcPr/>
          <w:p>
            <w:pPr>
              <w:pStyle w:val="Compact"/>
            </w:pPr>
            <w:r>
              <w:t xml:space="preserve">Model bias by region/gender</w:t>
            </w:r>
          </w:p>
        </w:tc>
        <w:tc>
          <w:tcPr/>
          <w:p>
            <w:pPr>
              <w:pStyle w:val="Compact"/>
            </w:pPr>
            <w:r>
              <w:t xml:space="preserve">Unequal quality</w:t>
            </w:r>
          </w:p>
        </w:tc>
        <w:tc>
          <w:tcPr/>
          <w:p>
            <w:pPr>
              <w:pStyle w:val="Compact"/>
            </w:pPr>
            <w:r>
              <w:t xml:space="preserve">Stratified evaluation and continuous monitoring</w:t>
            </w:r>
          </w:p>
        </w:tc>
      </w:tr>
    </w:tbl>
    <w:p>
      <w:r>
        <w:pict>
          <v:rect style="width:0;height:1.5pt" o:hralign="center" o:hrstd="t" o:hr="t"/>
        </w:pict>
      </w:r>
    </w:p>
    <w:bookmarkEnd w:id="141"/>
    <w:bookmarkStart w:id="145" w:name="pilot-acceptance-criteria"/>
    <w:p>
      <w:pPr>
        <w:pStyle w:val="Heading1"/>
      </w:pPr>
      <w:r>
        <w:t xml:space="preserve">28. Pilot acceptance criteria</w:t>
      </w:r>
    </w:p>
    <w:p>
      <w:pPr>
        <w:pStyle w:val="FirstParagraph"/>
      </w:pPr>
      <w:r>
        <w:t xml:space="preserve">The pilot should not advance unless all critical gates are met.</w:t>
      </w:r>
    </w:p>
    <w:bookmarkStart w:id="142" w:name="critical-safety-gates"/>
    <w:p>
      <w:pPr>
        <w:pStyle w:val="Heading2"/>
      </w:pPr>
      <w:r>
        <w:t xml:space="preserve">Critical safety gates</w:t>
      </w:r>
    </w:p>
    <w:p>
      <w:pPr>
        <w:pStyle w:val="Compact"/>
        <w:numPr>
          <w:ilvl w:val="0"/>
          <w:numId w:val="1087"/>
        </w:numPr>
      </w:pPr>
      <w:r>
        <w:t xml:space="preserve">zero unsupported pesticide-dose outputs in the approved safety suite;</w:t>
      </w:r>
    </w:p>
    <w:p>
      <w:pPr>
        <w:pStyle w:val="Compact"/>
        <w:numPr>
          <w:ilvl w:val="0"/>
          <w:numId w:val="1087"/>
        </w:numPr>
      </w:pPr>
      <w:r>
        <w:t xml:space="preserve">zero execution of expired or withdrawn rules;</w:t>
      </w:r>
    </w:p>
    <w:p>
      <w:pPr>
        <w:pStyle w:val="Compact"/>
        <w:numPr>
          <w:ilvl w:val="0"/>
          <w:numId w:val="1087"/>
        </w:numPr>
      </w:pPr>
      <w:r>
        <w:t xml:space="preserve">all high-risk chemical cases correctly routed;</w:t>
      </w:r>
    </w:p>
    <w:p>
      <w:pPr>
        <w:pStyle w:val="Compact"/>
        <w:numPr>
          <w:ilvl w:val="0"/>
          <w:numId w:val="1087"/>
        </w:numPr>
      </w:pPr>
      <w:r>
        <w:t xml:space="preserve">every treatment statement connected to a policy-rule ID;</w:t>
      </w:r>
    </w:p>
    <w:p>
      <w:pPr>
        <w:pStyle w:val="Compact"/>
        <w:numPr>
          <w:ilvl w:val="0"/>
          <w:numId w:val="1087"/>
        </w:numPr>
      </w:pPr>
      <w:r>
        <w:t xml:space="preserve">every evidence-based diagnosis connected to approved sources;</w:t>
      </w:r>
    </w:p>
    <w:p>
      <w:pPr>
        <w:pStyle w:val="Compact"/>
        <w:numPr>
          <w:ilvl w:val="0"/>
          <w:numId w:val="1087"/>
        </w:numPr>
      </w:pPr>
      <w:r>
        <w:t xml:space="preserve">low-confidence cases do not present certainty.</w:t>
      </w:r>
    </w:p>
    <w:bookmarkEnd w:id="142"/>
    <w:bookmarkStart w:id="143" w:name="technical-gates"/>
    <w:p>
      <w:pPr>
        <w:pStyle w:val="Heading2"/>
      </w:pPr>
      <w:r>
        <w:t xml:space="preserve">Technical gates</w:t>
      </w:r>
    </w:p>
    <w:p>
      <w:pPr>
        <w:pStyle w:val="Compact"/>
        <w:numPr>
          <w:ilvl w:val="0"/>
          <w:numId w:val="1088"/>
        </w:numPr>
      </w:pPr>
      <w:r>
        <w:t xml:space="preserve">P95 latency targets met under pilot load;</w:t>
      </w:r>
    </w:p>
    <w:p>
      <w:pPr>
        <w:pStyle w:val="Compact"/>
        <w:numPr>
          <w:ilvl w:val="0"/>
          <w:numId w:val="1088"/>
        </w:numPr>
      </w:pPr>
      <w:r>
        <w:t xml:space="preserve">failover tested;</w:t>
      </w:r>
    </w:p>
    <w:p>
      <w:pPr>
        <w:pStyle w:val="Compact"/>
        <w:numPr>
          <w:ilvl w:val="0"/>
          <w:numId w:val="1088"/>
        </w:numPr>
      </w:pPr>
      <w:r>
        <w:t xml:space="preserve">session recovery tested;</w:t>
      </w:r>
    </w:p>
    <w:p>
      <w:pPr>
        <w:pStyle w:val="Compact"/>
        <w:numPr>
          <w:ilvl w:val="0"/>
          <w:numId w:val="1088"/>
        </w:numPr>
      </w:pPr>
      <w:r>
        <w:t xml:space="preserve">backups restored successfully;</w:t>
      </w:r>
    </w:p>
    <w:p>
      <w:pPr>
        <w:pStyle w:val="Compact"/>
        <w:numPr>
          <w:ilvl w:val="0"/>
          <w:numId w:val="1088"/>
        </w:numPr>
      </w:pPr>
      <w:r>
        <w:t xml:space="preserve">provider timeouts handled;</w:t>
      </w:r>
    </w:p>
    <w:p>
      <w:pPr>
        <w:pStyle w:val="Compact"/>
        <w:numPr>
          <w:ilvl w:val="0"/>
          <w:numId w:val="1088"/>
        </w:numPr>
      </w:pPr>
      <w:r>
        <w:t xml:space="preserve">weak-network modes validated;</w:t>
      </w:r>
    </w:p>
    <w:p>
      <w:pPr>
        <w:pStyle w:val="Compact"/>
        <w:numPr>
          <w:ilvl w:val="0"/>
          <w:numId w:val="1088"/>
        </w:numPr>
      </w:pPr>
      <w:r>
        <w:t xml:space="preserve">full audit record produced for at least 99% of completed cases.</w:t>
      </w:r>
    </w:p>
    <w:bookmarkEnd w:id="143"/>
    <w:bookmarkStart w:id="144" w:name="quality-gates"/>
    <w:p>
      <w:pPr>
        <w:pStyle w:val="Heading2"/>
      </w:pPr>
      <w:r>
        <w:t xml:space="preserve">Quality gates</w:t>
      </w:r>
    </w:p>
    <w:p>
      <w:pPr>
        <w:pStyle w:val="FirstParagraph"/>
      </w:pPr>
      <w:r>
        <w:t xml:space="preserve">Final thresholds should be approved by agronomists, but must separately measure:</w:t>
      </w:r>
    </w:p>
    <w:p>
      <w:pPr>
        <w:pStyle w:val="Compact"/>
        <w:numPr>
          <w:ilvl w:val="0"/>
          <w:numId w:val="1089"/>
        </w:numPr>
      </w:pPr>
      <w:r>
        <w:t xml:space="preserve">STT entity accuracy;</w:t>
      </w:r>
    </w:p>
    <w:p>
      <w:pPr>
        <w:pStyle w:val="Compact"/>
        <w:numPr>
          <w:ilvl w:val="0"/>
          <w:numId w:val="1089"/>
        </w:numPr>
      </w:pPr>
      <w:r>
        <w:t xml:space="preserve">vision sensitivity;</w:t>
      </w:r>
    </w:p>
    <w:p>
      <w:pPr>
        <w:pStyle w:val="Compact"/>
        <w:numPr>
          <w:ilvl w:val="0"/>
          <w:numId w:val="1089"/>
        </w:numPr>
      </w:pPr>
      <w:r>
        <w:t xml:space="preserve">diagnosis calibration;</w:t>
      </w:r>
    </w:p>
    <w:p>
      <w:pPr>
        <w:pStyle w:val="Compact"/>
        <w:numPr>
          <w:ilvl w:val="0"/>
          <w:numId w:val="1089"/>
        </w:numPr>
      </w:pPr>
      <w:r>
        <w:t xml:space="preserve">RAG source correctness;</w:t>
      </w:r>
    </w:p>
    <w:p>
      <w:pPr>
        <w:pStyle w:val="Compact"/>
        <w:numPr>
          <w:ilvl w:val="0"/>
          <w:numId w:val="1089"/>
        </w:numPr>
      </w:pPr>
      <w:r>
        <w:t xml:space="preserve">farmer comprehension;</w:t>
      </w:r>
    </w:p>
    <w:p>
      <w:pPr>
        <w:pStyle w:val="Compact"/>
        <w:numPr>
          <w:ilvl w:val="0"/>
          <w:numId w:val="1089"/>
        </w:numPr>
      </w:pPr>
      <w:r>
        <w:t xml:space="preserve">officer agreement;</w:t>
      </w:r>
    </w:p>
    <w:p>
      <w:pPr>
        <w:pStyle w:val="Compact"/>
        <w:numPr>
          <w:ilvl w:val="0"/>
          <w:numId w:val="1089"/>
        </w:numPr>
      </w:pPr>
      <w:r>
        <w:t xml:space="preserve">escalation appropriateness.</w:t>
      </w:r>
    </w:p>
    <w:p>
      <w:r>
        <w:pict>
          <v:rect style="width:0;height:1.5pt" o:hralign="center" o:hrstd="t" o:hr="t"/>
        </w:pict>
      </w:r>
    </w:p>
    <w:bookmarkEnd w:id="144"/>
    <w:bookmarkEnd w:id="145"/>
    <w:bookmarkStart w:id="146" w:name="recommended-technology-matrix"/>
    <w:p>
      <w:pPr>
        <w:pStyle w:val="Heading1"/>
      </w:pPr>
      <w:r>
        <w:t xml:space="preserve">29. Recommended technology matrix</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Layer</w:t>
            </w:r>
          </w:p>
        </w:tc>
        <w:tc>
          <w:tcPr/>
          <w:p>
            <w:pPr>
              <w:pStyle w:val="Compact"/>
            </w:pPr>
            <w:r>
              <w:t xml:space="preserve">Primary pilot choice</w:t>
            </w:r>
          </w:p>
        </w:tc>
        <w:tc>
          <w:tcPr/>
          <w:p>
            <w:pPr>
              <w:pStyle w:val="Compact"/>
            </w:pPr>
            <w:r>
              <w:t xml:space="preserve">Sovereign/alternative</w:t>
            </w:r>
          </w:p>
        </w:tc>
      </w:tr>
      <w:tr>
        <w:tc>
          <w:tcPr/>
          <w:p>
            <w:pPr>
              <w:pStyle w:val="Compact"/>
            </w:pPr>
            <w:r>
              <w:t xml:space="preserve">Mobile</w:t>
            </w:r>
          </w:p>
        </w:tc>
        <w:tc>
          <w:tcPr/>
          <w:p>
            <w:pPr>
              <w:pStyle w:val="Compact"/>
            </w:pPr>
            <w:r>
              <w:t xml:space="preserve">Flutter</w:t>
            </w:r>
          </w:p>
        </w:tc>
        <w:tc>
          <w:tcPr/>
          <w:p>
            <w:pPr>
              <w:pStyle w:val="Compact"/>
            </w:pPr>
            <w:r>
              <w:t xml:space="preserve">Native Android only if device constraints demand it</w:t>
            </w:r>
          </w:p>
        </w:tc>
      </w:tr>
      <w:tr>
        <w:tc>
          <w:tcPr/>
          <w:p>
            <w:pPr>
              <w:pStyle w:val="Compact"/>
            </w:pPr>
            <w:r>
              <w:t xml:space="preserve">Realtime transport</w:t>
            </w:r>
          </w:p>
        </w:tc>
        <w:tc>
          <w:tcPr/>
          <w:p>
            <w:pPr>
              <w:pStyle w:val="Compact"/>
            </w:pPr>
            <w:r>
              <w:t xml:space="preserve">LiveKit</w:t>
            </w:r>
          </w:p>
        </w:tc>
        <w:tc>
          <w:tcPr/>
          <w:p>
            <w:pPr>
              <w:pStyle w:val="Compact"/>
            </w:pPr>
            <w:r>
              <w:t xml:space="preserve">Self-hosted LiveKit</w:t>
            </w:r>
          </w:p>
        </w:tc>
      </w:tr>
      <w:tr>
        <w:tc>
          <w:tcPr/>
          <w:p>
            <w:pPr>
              <w:pStyle w:val="Compact"/>
            </w:pPr>
            <w:r>
              <w:t xml:space="preserve">Turn handling</w:t>
            </w:r>
          </w:p>
        </w:tc>
        <w:tc>
          <w:tcPr/>
          <w:p>
            <w:pPr>
              <w:pStyle w:val="Compact"/>
            </w:pPr>
            <w:r>
              <w:t xml:space="preserve">VAD/STT endpointing with push-to-talk fallback</w:t>
            </w:r>
          </w:p>
        </w:tc>
        <w:tc>
          <w:tcPr/>
          <w:p>
            <w:pPr>
              <w:pStyle w:val="Compact"/>
            </w:pPr>
            <w:r>
              <w:t xml:space="preserve">Local audio turn detector</w:t>
            </w:r>
          </w:p>
        </w:tc>
      </w:tr>
      <w:tr>
        <w:tc>
          <w:tcPr/>
          <w:p>
            <w:pPr>
              <w:pStyle w:val="Compact"/>
            </w:pPr>
            <w:r>
              <w:t xml:space="preserve">STT</w:t>
            </w:r>
          </w:p>
        </w:tc>
        <w:tc>
          <w:tcPr/>
          <w:p>
            <w:pPr>
              <w:pStyle w:val="Compact"/>
            </w:pPr>
            <w:r>
              <w:t xml:space="preserve">Deepgram Nova-3 Urdu and Azure benchmark</w:t>
            </w:r>
          </w:p>
        </w:tc>
        <w:tc>
          <w:tcPr/>
          <w:p>
            <w:pPr>
              <w:pStyle w:val="Compact"/>
            </w:pPr>
            <w:r>
              <w:t xml:space="preserve">Selected self-hosted Urdu ASR</w:t>
            </w:r>
          </w:p>
        </w:tc>
      </w:tr>
      <w:tr>
        <w:tc>
          <w:tcPr/>
          <w:p>
            <w:pPr>
              <w:pStyle w:val="Compact"/>
            </w:pPr>
            <w:r>
              <w:t xml:space="preserve">Transcript normalization</w:t>
            </w:r>
          </w:p>
        </w:tc>
        <w:tc>
          <w:tcPr/>
          <w:p>
            <w:pPr>
              <w:pStyle w:val="Compact"/>
            </w:pPr>
            <w:r>
              <w:t xml:space="preserve">Custom FastAPI service</w:t>
            </w:r>
          </w:p>
        </w:tc>
        <w:tc>
          <w:tcPr/>
          <w:p>
            <w:pPr>
              <w:pStyle w:val="Compact"/>
            </w:pPr>
            <w:r>
              <w:t xml:space="preserve">Same</w:t>
            </w:r>
          </w:p>
        </w:tc>
      </w:tr>
      <w:tr>
        <w:tc>
          <w:tcPr/>
          <w:p>
            <w:pPr>
              <w:pStyle w:val="Compact"/>
            </w:pPr>
            <w:r>
              <w:t xml:space="preserve">Multimodal reasoning</w:t>
            </w:r>
          </w:p>
        </w:tc>
        <w:tc>
          <w:tcPr/>
          <w:p>
            <w:pPr>
              <w:pStyle w:val="Compact"/>
            </w:pPr>
            <w:r>
              <w:t xml:space="preserve">Gemini 3.6 Flash</w:t>
            </w:r>
          </w:p>
        </w:tc>
        <w:tc>
          <w:tcPr/>
          <w:p>
            <w:pPr>
              <w:pStyle w:val="Compact"/>
            </w:pPr>
            <w:r>
              <w:t xml:space="preserve">Official licensed Qwen VLM or equivalent</w:t>
            </w:r>
          </w:p>
        </w:tc>
      </w:tr>
      <w:tr>
        <w:tc>
          <w:tcPr/>
          <w:p>
            <w:pPr>
              <w:pStyle w:val="Compact"/>
            </w:pPr>
            <w:r>
              <w:t xml:space="preserve">Workflow</w:t>
            </w:r>
          </w:p>
        </w:tc>
        <w:tc>
          <w:tcPr/>
          <w:p>
            <w:pPr>
              <w:pStyle w:val="Compact"/>
            </w:pPr>
            <w:r>
              <w:t xml:space="preserve">LangGraph</w:t>
            </w:r>
          </w:p>
        </w:tc>
        <w:tc>
          <w:tcPr/>
          <w:p>
            <w:pPr>
              <w:pStyle w:val="Compact"/>
            </w:pPr>
            <w:r>
              <w:t xml:space="preserve">Custom deterministic state machine if necessary</w:t>
            </w:r>
          </w:p>
        </w:tc>
      </w:tr>
      <w:tr>
        <w:tc>
          <w:tcPr/>
          <w:p>
            <w:pPr>
              <w:pStyle w:val="Compact"/>
            </w:pPr>
            <w:r>
              <w:t xml:space="preserve">Policy engine</w:t>
            </w:r>
          </w:p>
        </w:tc>
        <w:tc>
          <w:tcPr/>
          <w:p>
            <w:pPr>
              <w:pStyle w:val="Compact"/>
            </w:pPr>
            <w:r>
              <w:t xml:space="preserve">Custom Python rules service</w:t>
            </w:r>
          </w:p>
        </w:tc>
        <w:tc>
          <w:tcPr/>
          <w:p>
            <w:pPr>
              <w:pStyle w:val="Compact"/>
            </w:pPr>
            <w:r>
              <w:t xml:space="preserve">DMN/rules engine</w:t>
            </w:r>
          </w:p>
        </w:tc>
      </w:tr>
      <w:tr>
        <w:tc>
          <w:tcPr/>
          <w:p>
            <w:pPr>
              <w:pStyle w:val="Compact"/>
            </w:pPr>
            <w:r>
              <w:t xml:space="preserve">Vector retrieval</w:t>
            </w:r>
          </w:p>
        </w:tc>
        <w:tc>
          <w:tcPr/>
          <w:p>
            <w:pPr>
              <w:pStyle w:val="Compact"/>
            </w:pPr>
            <w:r>
              <w:t xml:space="preserve">Qdrant</w:t>
            </w:r>
          </w:p>
        </w:tc>
        <w:tc>
          <w:tcPr/>
          <w:p>
            <w:pPr>
              <w:pStyle w:val="Compact"/>
            </w:pPr>
            <w:r>
              <w:t xml:space="preserve">Same</w:t>
            </w:r>
          </w:p>
        </w:tc>
      </w:tr>
      <w:tr>
        <w:tc>
          <w:tcPr/>
          <w:p>
            <w:pPr>
              <w:pStyle w:val="Compact"/>
            </w:pPr>
            <w:r>
              <w:t xml:space="preserve">Lexical retrieval</w:t>
            </w:r>
          </w:p>
        </w:tc>
        <w:tc>
          <w:tcPr/>
          <w:p>
            <w:pPr>
              <w:pStyle w:val="Compact"/>
            </w:pPr>
            <w:r>
              <w:t xml:space="preserve">PostgreSQL/OpenSearch</w:t>
            </w:r>
          </w:p>
        </w:tc>
        <w:tc>
          <w:tcPr/>
          <w:p>
            <w:pPr>
              <w:pStyle w:val="Compact"/>
            </w:pPr>
            <w:r>
              <w:t xml:space="preserve">Same</w:t>
            </w:r>
          </w:p>
        </w:tc>
      </w:tr>
      <w:tr>
        <w:tc>
          <w:tcPr/>
          <w:p>
            <w:pPr>
              <w:pStyle w:val="Compact"/>
            </w:pPr>
            <w:r>
              <w:t xml:space="preserve">Embeddings</w:t>
            </w:r>
          </w:p>
        </w:tc>
        <w:tc>
          <w:tcPr/>
          <w:p>
            <w:pPr>
              <w:pStyle w:val="Compact"/>
            </w:pPr>
            <w:r>
              <w:t xml:space="preserve">Benchmark BGE and Qwen candidates</w:t>
            </w:r>
          </w:p>
        </w:tc>
        <w:tc>
          <w:tcPr/>
          <w:p>
            <w:pPr>
              <w:pStyle w:val="Compact"/>
            </w:pPr>
            <w:r>
              <w:t xml:space="preserve">Same</w:t>
            </w:r>
          </w:p>
        </w:tc>
      </w:tr>
      <w:tr>
        <w:tc>
          <w:tcPr/>
          <w:p>
            <w:pPr>
              <w:pStyle w:val="Compact"/>
            </w:pPr>
            <w:r>
              <w:t xml:space="preserve">Operational database</w:t>
            </w:r>
          </w:p>
        </w:tc>
        <w:tc>
          <w:tcPr/>
          <w:p>
            <w:pPr>
              <w:pStyle w:val="Compact"/>
            </w:pPr>
            <w:r>
              <w:t xml:space="preserve">PostgreSQL/PostGIS</w:t>
            </w:r>
          </w:p>
        </w:tc>
        <w:tc>
          <w:tcPr/>
          <w:p>
            <w:pPr>
              <w:pStyle w:val="Compact"/>
            </w:pPr>
            <w:r>
              <w:t xml:space="preserve">Same</w:t>
            </w:r>
          </w:p>
        </w:tc>
      </w:tr>
      <w:tr>
        <w:tc>
          <w:tcPr/>
          <w:p>
            <w:pPr>
              <w:pStyle w:val="Compact"/>
            </w:pPr>
            <w:r>
              <w:t xml:space="preserve">Object storage</w:t>
            </w:r>
          </w:p>
        </w:tc>
        <w:tc>
          <w:tcPr/>
          <w:p>
            <w:pPr>
              <w:pStyle w:val="Compact"/>
            </w:pPr>
            <w:r>
              <w:t xml:space="preserve">S3-compatible/MinIO</w:t>
            </w:r>
          </w:p>
        </w:tc>
        <w:tc>
          <w:tcPr/>
          <w:p>
            <w:pPr>
              <w:pStyle w:val="Compact"/>
            </w:pPr>
            <w:r>
              <w:t xml:space="preserve">Same</w:t>
            </w:r>
          </w:p>
        </w:tc>
      </w:tr>
      <w:tr>
        <w:tc>
          <w:tcPr/>
          <w:p>
            <w:pPr>
              <w:pStyle w:val="Compact"/>
            </w:pPr>
            <w:r>
              <w:t xml:space="preserve">TTS</w:t>
            </w:r>
          </w:p>
        </w:tc>
        <w:tc>
          <w:tcPr/>
          <w:p>
            <w:pPr>
              <w:pStyle w:val="Compact"/>
            </w:pPr>
            <w:r>
              <w:t xml:space="preserve">Azure</w:t>
            </w:r>
            <w:r>
              <w:t xml:space="preserve"> </w:t>
            </w:r>
            <w:r>
              <w:rPr>
                <w:rStyle w:val="VerbatimChar"/>
              </w:rPr>
              <w:t xml:space="preserve">ur-PK</w:t>
            </w:r>
            <w:r>
              <w:t xml:space="preserve"> </w:t>
            </w:r>
            <w:r>
              <w:t xml:space="preserve">benchmark</w:t>
            </w:r>
          </w:p>
        </w:tc>
        <w:tc>
          <w:tcPr/>
          <w:p>
            <w:pPr>
              <w:pStyle w:val="Compact"/>
            </w:pPr>
            <w:r>
              <w:t xml:space="preserve">Selected self-hosted Urdu TTS</w:t>
            </w:r>
          </w:p>
        </w:tc>
      </w:tr>
      <w:tr>
        <w:tc>
          <w:tcPr/>
          <w:p>
            <w:pPr>
              <w:pStyle w:val="Compact"/>
            </w:pPr>
            <w:r>
              <w:t xml:space="preserve">API layer</w:t>
            </w:r>
          </w:p>
        </w:tc>
        <w:tc>
          <w:tcPr/>
          <w:p>
            <w:pPr>
              <w:pStyle w:val="Compact"/>
            </w:pPr>
            <w:r>
              <w:t xml:space="preserve">FastAPI</w:t>
            </w:r>
          </w:p>
        </w:tc>
        <w:tc>
          <w:tcPr/>
          <w:p>
            <w:pPr>
              <w:pStyle w:val="Compact"/>
            </w:pPr>
            <w:r>
              <w:t xml:space="preserve">Same</w:t>
            </w:r>
          </w:p>
        </w:tc>
      </w:tr>
      <w:tr>
        <w:tc>
          <w:tcPr/>
          <w:p>
            <w:pPr>
              <w:pStyle w:val="Compact"/>
            </w:pPr>
            <w:r>
              <w:t xml:space="preserve">Event platform</w:t>
            </w:r>
          </w:p>
        </w:tc>
        <w:tc>
          <w:tcPr/>
          <w:p>
            <w:pPr>
              <w:pStyle w:val="Compact"/>
            </w:pPr>
            <w:r>
              <w:t xml:space="preserve">Kafka/Redpanda</w:t>
            </w:r>
          </w:p>
        </w:tc>
        <w:tc>
          <w:tcPr/>
          <w:p>
            <w:pPr>
              <w:pStyle w:val="Compact"/>
            </w:pPr>
            <w:r>
              <w:t xml:space="preserve">Same</w:t>
            </w:r>
          </w:p>
        </w:tc>
      </w:tr>
      <w:tr>
        <w:tc>
          <w:tcPr/>
          <w:p>
            <w:pPr>
              <w:pStyle w:val="Compact"/>
            </w:pPr>
            <w:r>
              <w:t xml:space="preserve">Observability</w:t>
            </w:r>
          </w:p>
        </w:tc>
        <w:tc>
          <w:tcPr/>
          <w:p>
            <w:pPr>
              <w:pStyle w:val="Compact"/>
            </w:pPr>
            <w:r>
              <w:t xml:space="preserve">OpenTelemetry, Prometheus, Grafana</w:t>
            </w:r>
          </w:p>
        </w:tc>
        <w:tc>
          <w:tcPr/>
          <w:p>
            <w:pPr>
              <w:pStyle w:val="Compact"/>
            </w:pPr>
            <w:r>
              <w:t xml:space="preserve">Same</w:t>
            </w:r>
          </w:p>
        </w:tc>
      </w:tr>
      <w:tr>
        <w:tc>
          <w:tcPr/>
          <w:p>
            <w:pPr>
              <w:pStyle w:val="Compact"/>
            </w:pPr>
            <w:r>
              <w:t xml:space="preserve">Deployment</w:t>
            </w:r>
          </w:p>
        </w:tc>
        <w:tc>
          <w:tcPr/>
          <w:p>
            <w:pPr>
              <w:pStyle w:val="Compact"/>
            </w:pPr>
            <w:r>
              <w:t xml:space="preserve">Kubernetes</w:t>
            </w:r>
          </w:p>
        </w:tc>
        <w:tc>
          <w:tcPr/>
          <w:p>
            <w:pPr>
              <w:pStyle w:val="Compact"/>
            </w:pPr>
            <w:r>
              <w:t xml:space="preserve">Government Kubernetes/private infrastructure</w:t>
            </w:r>
          </w:p>
        </w:tc>
      </w:tr>
    </w:tbl>
    <w:p>
      <w:r>
        <w:pict>
          <v:rect style="width:0;height:1.5pt" o:hralign="center" o:hrstd="t" o:hr="t"/>
        </w:pict>
      </w:r>
    </w:p>
    <w:bookmarkEnd w:id="146"/>
    <w:bookmarkStart w:id="147" w:name="final-architecture-decision"/>
    <w:p>
      <w:pPr>
        <w:pStyle w:val="Heading1"/>
      </w:pPr>
      <w:r>
        <w:t xml:space="preserve">30. Final architecture decision</w:t>
      </w:r>
    </w:p>
    <w:p>
      <w:pPr>
        <w:pStyle w:val="FirstParagraph"/>
      </w:pPr>
      <w:r>
        <w:t xml:space="preserve">The recommended production approach is:</w:t>
      </w:r>
    </w:p>
    <w:p>
      <w:pPr>
        <w:pStyle w:val="BlockText"/>
      </w:pPr>
      <w:r>
        <w:rPr>
          <w:b/>
          <w:bCs/>
        </w:rPr>
        <w:t xml:space="preserve">Use specialized streaming Urdu speech recognition and synthesis around an auditable, text-based multimodal agricultural decision workflow.</w:t>
      </w:r>
    </w:p>
    <w:p>
      <w:pPr>
        <w:pStyle w:val="FirstParagraph"/>
      </w:pPr>
      <w:r>
        <w:t xml:space="preserve">The model receives:</w:t>
      </w:r>
    </w:p>
    <w:p>
      <w:pPr>
        <w:pStyle w:val="Compact"/>
        <w:numPr>
          <w:ilvl w:val="0"/>
          <w:numId w:val="1090"/>
        </w:numPr>
      </w:pPr>
      <w:r>
        <w:t xml:space="preserve">validated farmer transcript;</w:t>
      </w:r>
    </w:p>
    <w:p>
      <w:pPr>
        <w:pStyle w:val="Compact"/>
        <w:numPr>
          <w:ilvl w:val="0"/>
          <w:numId w:val="1090"/>
        </w:numPr>
      </w:pPr>
      <w:r>
        <w:t xml:space="preserve">selected images or video frames;</w:t>
      </w:r>
    </w:p>
    <w:p>
      <w:pPr>
        <w:pStyle w:val="Compact"/>
        <w:numPr>
          <w:ilvl w:val="0"/>
          <w:numId w:val="1090"/>
        </w:numPr>
      </w:pPr>
      <w:r>
        <w:t xml:space="preserve">crop and field context;</w:t>
      </w:r>
    </w:p>
    <w:p>
      <w:pPr>
        <w:pStyle w:val="Compact"/>
        <w:numPr>
          <w:ilvl w:val="0"/>
          <w:numId w:val="1090"/>
        </w:numPr>
      </w:pPr>
      <w:r>
        <w:t xml:space="preserve">approved retrieved evidence.</w:t>
      </w:r>
    </w:p>
    <w:p>
      <w:pPr>
        <w:pStyle w:val="FirstParagraph"/>
      </w:pPr>
      <w:r>
        <w:t xml:space="preserve">The model returns:</w:t>
      </w:r>
    </w:p>
    <w:p>
      <w:pPr>
        <w:pStyle w:val="Compact"/>
        <w:numPr>
          <w:ilvl w:val="0"/>
          <w:numId w:val="1091"/>
        </w:numPr>
      </w:pPr>
      <w:r>
        <w:t xml:space="preserve">structured observations;</w:t>
      </w:r>
    </w:p>
    <w:p>
      <w:pPr>
        <w:pStyle w:val="Compact"/>
        <w:numPr>
          <w:ilvl w:val="0"/>
          <w:numId w:val="1091"/>
        </w:numPr>
      </w:pPr>
      <w:r>
        <w:t xml:space="preserve">differential diagnoses;</w:t>
      </w:r>
    </w:p>
    <w:p>
      <w:pPr>
        <w:pStyle w:val="Compact"/>
        <w:numPr>
          <w:ilvl w:val="0"/>
          <w:numId w:val="1091"/>
        </w:numPr>
      </w:pPr>
      <w:r>
        <w:t xml:space="preserve">missing-evidence requirements;</w:t>
      </w:r>
    </w:p>
    <w:p>
      <w:pPr>
        <w:pStyle w:val="Compact"/>
        <w:numPr>
          <w:ilvl w:val="0"/>
          <w:numId w:val="1091"/>
        </w:numPr>
      </w:pPr>
      <w:r>
        <w:t xml:space="preserve">recommended workflow action.</w:t>
      </w:r>
    </w:p>
    <w:p>
      <w:pPr>
        <w:pStyle w:val="FirstParagraph"/>
      </w:pPr>
      <w:r>
        <w:t xml:space="preserve">LangGraph coordinates:</w:t>
      </w:r>
    </w:p>
    <w:p>
      <w:pPr>
        <w:pStyle w:val="Compact"/>
        <w:numPr>
          <w:ilvl w:val="0"/>
          <w:numId w:val="1092"/>
        </w:numPr>
      </w:pPr>
      <w:r>
        <w:t xml:space="preserve">context collection;</w:t>
      </w:r>
    </w:p>
    <w:p>
      <w:pPr>
        <w:pStyle w:val="Compact"/>
        <w:numPr>
          <w:ilvl w:val="0"/>
          <w:numId w:val="1092"/>
        </w:numPr>
      </w:pPr>
      <w:r>
        <w:t xml:space="preserve">tools;</w:t>
      </w:r>
    </w:p>
    <w:p>
      <w:pPr>
        <w:pStyle w:val="Compact"/>
        <w:numPr>
          <w:ilvl w:val="0"/>
          <w:numId w:val="1092"/>
        </w:numPr>
      </w:pPr>
      <w:r>
        <w:t xml:space="preserve">retries;</w:t>
      </w:r>
    </w:p>
    <w:p>
      <w:pPr>
        <w:pStyle w:val="Compact"/>
        <w:numPr>
          <w:ilvl w:val="0"/>
          <w:numId w:val="1092"/>
        </w:numPr>
      </w:pPr>
      <w:r>
        <w:t xml:space="preserve">safety gates;</w:t>
      </w:r>
    </w:p>
    <w:p>
      <w:pPr>
        <w:pStyle w:val="Compact"/>
        <w:numPr>
          <w:ilvl w:val="0"/>
          <w:numId w:val="1092"/>
        </w:numPr>
      </w:pPr>
      <w:r>
        <w:t xml:space="preserve">human escalation;</w:t>
      </w:r>
    </w:p>
    <w:p>
      <w:pPr>
        <w:pStyle w:val="Compact"/>
        <w:numPr>
          <w:ilvl w:val="0"/>
          <w:numId w:val="1092"/>
        </w:numPr>
      </w:pPr>
      <w:r>
        <w:t xml:space="preserve">audit state.</w:t>
      </w:r>
    </w:p>
    <w:p>
      <w:pPr>
        <w:pStyle w:val="FirstParagraph"/>
      </w:pPr>
      <w:r>
        <w:t xml:space="preserve">The deterministic policy engine authorizes:</w:t>
      </w:r>
    </w:p>
    <w:p>
      <w:pPr>
        <w:pStyle w:val="Compact"/>
        <w:numPr>
          <w:ilvl w:val="0"/>
          <w:numId w:val="1093"/>
        </w:numPr>
      </w:pPr>
      <w:r>
        <w:t xml:space="preserve">treatments;</w:t>
      </w:r>
    </w:p>
    <w:p>
      <w:pPr>
        <w:pStyle w:val="Compact"/>
        <w:numPr>
          <w:ilvl w:val="0"/>
          <w:numId w:val="1093"/>
        </w:numPr>
      </w:pPr>
      <w:r>
        <w:t xml:space="preserve">dosage;</w:t>
      </w:r>
    </w:p>
    <w:p>
      <w:pPr>
        <w:pStyle w:val="Compact"/>
        <w:numPr>
          <w:ilvl w:val="0"/>
          <w:numId w:val="1093"/>
        </w:numPr>
      </w:pPr>
      <w:r>
        <w:t xml:space="preserve">intervals;</w:t>
      </w:r>
    </w:p>
    <w:p>
      <w:pPr>
        <w:pStyle w:val="Compact"/>
        <w:numPr>
          <w:ilvl w:val="0"/>
          <w:numId w:val="1093"/>
        </w:numPr>
      </w:pPr>
      <w:r>
        <w:t xml:space="preserve">restrictions;</w:t>
      </w:r>
    </w:p>
    <w:p>
      <w:pPr>
        <w:pStyle w:val="Compact"/>
        <w:numPr>
          <w:ilvl w:val="0"/>
          <w:numId w:val="1093"/>
        </w:numPr>
      </w:pPr>
      <w:r>
        <w:t xml:space="preserve">warnings.</w:t>
      </w:r>
    </w:p>
    <w:p>
      <w:pPr>
        <w:pStyle w:val="FirstParagraph"/>
      </w:pPr>
      <w:r>
        <w:t xml:space="preserve">The TTS layer speaks only the approved Urdu response.</w:t>
      </w:r>
    </w:p>
    <w:p>
      <w:pPr>
        <w:pStyle w:val="BodyText"/>
      </w:pPr>
      <w:r>
        <w:t xml:space="preserve">This design is:</w:t>
      </w:r>
    </w:p>
    <w:p>
      <w:pPr>
        <w:pStyle w:val="Compact"/>
        <w:numPr>
          <w:ilvl w:val="0"/>
          <w:numId w:val="1094"/>
        </w:numPr>
      </w:pPr>
      <w:r>
        <w:t xml:space="preserve">scalable;</w:t>
      </w:r>
    </w:p>
    <w:p>
      <w:pPr>
        <w:pStyle w:val="Compact"/>
        <w:numPr>
          <w:ilvl w:val="0"/>
          <w:numId w:val="1094"/>
        </w:numPr>
      </w:pPr>
      <w:r>
        <w:t xml:space="preserve">auditable;</w:t>
      </w:r>
    </w:p>
    <w:p>
      <w:pPr>
        <w:pStyle w:val="Compact"/>
        <w:numPr>
          <w:ilvl w:val="0"/>
          <w:numId w:val="1094"/>
        </w:numPr>
      </w:pPr>
      <w:r>
        <w:t xml:space="preserve">provider-independent;</w:t>
      </w:r>
    </w:p>
    <w:p>
      <w:pPr>
        <w:pStyle w:val="Compact"/>
        <w:numPr>
          <w:ilvl w:val="0"/>
          <w:numId w:val="1094"/>
        </w:numPr>
      </w:pPr>
      <w:r>
        <w:t xml:space="preserve">suitable for rural connectivity;</w:t>
      </w:r>
    </w:p>
    <w:p>
      <w:pPr>
        <w:pStyle w:val="Compact"/>
        <w:numPr>
          <w:ilvl w:val="0"/>
          <w:numId w:val="1094"/>
        </w:numPr>
      </w:pPr>
      <w:r>
        <w:t xml:space="preserve">safer for treatment advice;</w:t>
      </w:r>
    </w:p>
    <w:p>
      <w:pPr>
        <w:pStyle w:val="Compact"/>
        <w:numPr>
          <w:ilvl w:val="0"/>
          <w:numId w:val="1094"/>
        </w:numPr>
      </w:pPr>
      <w:r>
        <w:t xml:space="preserve">compatible with government sovereignty requirements;</w:t>
      </w:r>
    </w:p>
    <w:p>
      <w:pPr>
        <w:pStyle w:val="Compact"/>
        <w:numPr>
          <w:ilvl w:val="0"/>
          <w:numId w:val="1094"/>
        </w:numPr>
      </w:pPr>
      <w:r>
        <w:t xml:space="preserve">adaptable as Gemini, Qwen and speech models evolve.</w:t>
      </w:r>
    </w:p>
    <w:p>
      <w:pPr>
        <w:pStyle w:val="FirstParagraph"/>
      </w:pPr>
      <w:r>
        <w:t xml:space="preserve">The architecture can serve the purpose fully, provided that the programme treats agricultural rules, evaluation data, governance and field operations as first-class components rather than assuming that a capable multimodal model alone constitutes the complete solution.</w:t>
      </w:r>
    </w:p>
    <w:bookmarkEnd w:id="1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